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35" w:rsidRDefault="00A73B35" w:rsidP="00A73B35">
      <w:pPr>
        <w:ind w:left="360"/>
        <w:contextualSpacing/>
        <w:jc w:val="center"/>
        <w:rPr>
          <w:b/>
          <w:sz w:val="28"/>
          <w:szCs w:val="28"/>
        </w:rPr>
      </w:pPr>
      <w:r w:rsidRPr="00FD22AD">
        <w:rPr>
          <w:b/>
          <w:sz w:val="28"/>
          <w:szCs w:val="28"/>
          <w:lang w:val="en-US"/>
        </w:rPr>
        <w:t>III</w:t>
      </w:r>
      <w:r w:rsidRPr="00FD22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2025F">
        <w:rPr>
          <w:b/>
          <w:sz w:val="28"/>
          <w:szCs w:val="28"/>
        </w:rPr>
        <w:t xml:space="preserve">Анализ итогов опросов </w:t>
      </w:r>
      <w:r>
        <w:rPr>
          <w:b/>
          <w:sz w:val="28"/>
          <w:szCs w:val="28"/>
        </w:rPr>
        <w:t>населени</w:t>
      </w:r>
      <w:r w:rsidRPr="00FD22AD">
        <w:rPr>
          <w:b/>
          <w:sz w:val="28"/>
          <w:szCs w:val="28"/>
        </w:rPr>
        <w:t xml:space="preserve">я </w:t>
      </w:r>
    </w:p>
    <w:p w:rsidR="00A73B35" w:rsidRDefault="00A73B35" w:rsidP="00A73B35">
      <w:pPr>
        <w:ind w:left="360"/>
        <w:contextualSpacing/>
        <w:jc w:val="center"/>
        <w:rPr>
          <w:b/>
          <w:sz w:val="28"/>
          <w:szCs w:val="28"/>
        </w:rPr>
      </w:pPr>
      <w:r w:rsidRPr="00FD22AD">
        <w:rPr>
          <w:b/>
          <w:sz w:val="28"/>
          <w:szCs w:val="28"/>
        </w:rPr>
        <w:t>в отношении доступности финансовых услуг</w:t>
      </w:r>
    </w:p>
    <w:p w:rsidR="00A73B35" w:rsidRPr="00A73B35" w:rsidRDefault="00A73B35" w:rsidP="00A73B35">
      <w:pPr>
        <w:ind w:left="360"/>
        <w:contextualSpacing/>
        <w:jc w:val="center"/>
        <w:rPr>
          <w:b/>
          <w:sz w:val="28"/>
          <w:szCs w:val="28"/>
        </w:rPr>
      </w:pPr>
    </w:p>
    <w:p w:rsidR="00F227BF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населения по вопросам доступности финансовых услуг (далее – мониторинг) за 202</w:t>
      </w:r>
      <w:r w:rsidR="00F227B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проведен среди </w:t>
      </w:r>
      <w:r w:rsidR="00F227BF">
        <w:rPr>
          <w:sz w:val="28"/>
          <w:szCs w:val="28"/>
        </w:rPr>
        <w:t>77</w:t>
      </w:r>
      <w:r>
        <w:rPr>
          <w:sz w:val="28"/>
          <w:szCs w:val="28"/>
        </w:rPr>
        <w:t xml:space="preserve"> жителей</w:t>
      </w:r>
      <w:r w:rsidRPr="00FD22A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 городского округа Ставропольского края</w:t>
      </w:r>
      <w:r w:rsidR="00F227BF">
        <w:rPr>
          <w:sz w:val="28"/>
          <w:szCs w:val="28"/>
        </w:rPr>
        <w:t xml:space="preserve"> (темп роста в сравнении с 2020 годом – 385 %)</w:t>
      </w:r>
      <w:r>
        <w:rPr>
          <w:sz w:val="28"/>
          <w:szCs w:val="28"/>
        </w:rPr>
        <w:t xml:space="preserve">. 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охвата населения в общей численности населения </w:t>
      </w:r>
      <w:proofErr w:type="gramStart"/>
      <w:r>
        <w:rPr>
          <w:sz w:val="28"/>
          <w:szCs w:val="28"/>
        </w:rPr>
        <w:t>Советского  городского</w:t>
      </w:r>
      <w:proofErr w:type="gramEnd"/>
      <w:r>
        <w:rPr>
          <w:sz w:val="28"/>
          <w:szCs w:val="28"/>
        </w:rPr>
        <w:t xml:space="preserve"> округа Ставропольского края составил 0,</w:t>
      </w:r>
      <w:r w:rsidR="00DE3D76">
        <w:rPr>
          <w:sz w:val="28"/>
          <w:szCs w:val="28"/>
        </w:rPr>
        <w:t>13</w:t>
      </w:r>
      <w:r>
        <w:rPr>
          <w:sz w:val="28"/>
          <w:szCs w:val="28"/>
        </w:rPr>
        <w:t xml:space="preserve"> %  (при среднегодовой численности населения 5</w:t>
      </w:r>
      <w:r w:rsidR="00DE3D7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E3D7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человек). В опросе приняли участие </w:t>
      </w:r>
      <w:r w:rsidR="00DE3D76">
        <w:rPr>
          <w:sz w:val="28"/>
          <w:szCs w:val="28"/>
        </w:rPr>
        <w:t>25</w:t>
      </w:r>
      <w:r>
        <w:rPr>
          <w:sz w:val="28"/>
          <w:szCs w:val="28"/>
        </w:rPr>
        <w:t xml:space="preserve"> мужчин (</w:t>
      </w:r>
      <w:r w:rsidR="00DE3D76">
        <w:rPr>
          <w:sz w:val="28"/>
          <w:szCs w:val="28"/>
        </w:rPr>
        <w:t>32,5 %, в 2020 году - 30,0 % всех опрошенных) и 52</w:t>
      </w:r>
      <w:r>
        <w:rPr>
          <w:sz w:val="28"/>
          <w:szCs w:val="28"/>
        </w:rPr>
        <w:t xml:space="preserve"> женщин</w:t>
      </w:r>
      <w:r w:rsidR="00DE3D76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r w:rsidR="00DE3D76">
        <w:rPr>
          <w:sz w:val="28"/>
          <w:szCs w:val="28"/>
        </w:rPr>
        <w:t>67,5 %, в 2020 году -</w:t>
      </w:r>
      <w:r>
        <w:rPr>
          <w:sz w:val="28"/>
          <w:szCs w:val="28"/>
        </w:rPr>
        <w:t>70,0 % всех опрошенных).</w:t>
      </w:r>
      <w:r w:rsidR="00DE3D76">
        <w:rPr>
          <w:sz w:val="28"/>
          <w:szCs w:val="28"/>
        </w:rPr>
        <w:t xml:space="preserve"> (табл. </w:t>
      </w:r>
      <w:r w:rsidR="00523C46">
        <w:rPr>
          <w:sz w:val="28"/>
          <w:szCs w:val="28"/>
        </w:rPr>
        <w:t>3.</w:t>
      </w:r>
      <w:r w:rsidR="00DE3D76">
        <w:rPr>
          <w:sz w:val="28"/>
          <w:szCs w:val="28"/>
        </w:rPr>
        <w:t>1).</w:t>
      </w:r>
    </w:p>
    <w:p w:rsidR="00523C46" w:rsidRDefault="00DE3D76" w:rsidP="00DE3D76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523C46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2388"/>
        <w:gridCol w:w="2389"/>
        <w:gridCol w:w="2420"/>
      </w:tblGrid>
      <w:tr w:rsidR="00DE3D76" w:rsidRPr="00990753" w:rsidTr="00DE3D76">
        <w:tc>
          <w:tcPr>
            <w:tcW w:w="2431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опрошенных</w:t>
            </w:r>
          </w:p>
        </w:tc>
        <w:tc>
          <w:tcPr>
            <w:tcW w:w="2388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center"/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2020 год, %</w:t>
            </w:r>
          </w:p>
        </w:tc>
        <w:tc>
          <w:tcPr>
            <w:tcW w:w="2389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center"/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2021 год, %</w:t>
            </w:r>
          </w:p>
        </w:tc>
        <w:tc>
          <w:tcPr>
            <w:tcW w:w="2420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center"/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Динамика 2021/2020, % (+,-)</w:t>
            </w:r>
          </w:p>
        </w:tc>
      </w:tr>
      <w:tr w:rsidR="00DE3D76" w:rsidRPr="00990753" w:rsidTr="00DE3D76">
        <w:tc>
          <w:tcPr>
            <w:tcW w:w="2431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Мужского пола</w:t>
            </w:r>
          </w:p>
        </w:tc>
        <w:tc>
          <w:tcPr>
            <w:tcW w:w="2388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0753">
              <w:rPr>
                <w:sz w:val="28"/>
                <w:szCs w:val="28"/>
              </w:rPr>
              <w:t>0,0</w:t>
            </w:r>
          </w:p>
        </w:tc>
        <w:tc>
          <w:tcPr>
            <w:tcW w:w="2389" w:type="dxa"/>
            <w:shd w:val="clear" w:color="auto" w:fill="auto"/>
          </w:tcPr>
          <w:p w:rsidR="00DE3D76" w:rsidRPr="00990753" w:rsidRDefault="00DE3D76" w:rsidP="00DE3D76">
            <w:pPr>
              <w:contextualSpacing/>
              <w:jc w:val="center"/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2,5</w:t>
            </w:r>
          </w:p>
        </w:tc>
        <w:tc>
          <w:tcPr>
            <w:tcW w:w="2420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+ 2,5</w:t>
            </w:r>
          </w:p>
        </w:tc>
      </w:tr>
      <w:tr w:rsidR="00DE3D76" w:rsidRPr="00990753" w:rsidTr="00DE3D76">
        <w:tc>
          <w:tcPr>
            <w:tcW w:w="2431" w:type="dxa"/>
            <w:shd w:val="clear" w:color="auto" w:fill="auto"/>
          </w:tcPr>
          <w:p w:rsidR="00DE3D76" w:rsidRPr="00990753" w:rsidRDefault="00DE3D76" w:rsidP="00646C01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Женского пола</w:t>
            </w:r>
          </w:p>
        </w:tc>
        <w:tc>
          <w:tcPr>
            <w:tcW w:w="2388" w:type="dxa"/>
            <w:shd w:val="clear" w:color="auto" w:fill="auto"/>
          </w:tcPr>
          <w:p w:rsidR="00DE3D76" w:rsidRPr="00990753" w:rsidRDefault="00DE3D76" w:rsidP="00DE3D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2389" w:type="dxa"/>
            <w:shd w:val="clear" w:color="auto" w:fill="auto"/>
          </w:tcPr>
          <w:p w:rsidR="00DE3D76" w:rsidRPr="00990753" w:rsidRDefault="00DE3D76" w:rsidP="00646C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2420" w:type="dxa"/>
            <w:shd w:val="clear" w:color="auto" w:fill="auto"/>
          </w:tcPr>
          <w:p w:rsidR="00DE3D76" w:rsidRPr="00990753" w:rsidRDefault="00DE3D76" w:rsidP="00DE3D76">
            <w:pPr>
              <w:contextualSpacing/>
              <w:jc w:val="center"/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2,5</w:t>
            </w:r>
          </w:p>
        </w:tc>
      </w:tr>
    </w:tbl>
    <w:p w:rsidR="00DE3D76" w:rsidRDefault="00DE3D76" w:rsidP="00A73B35">
      <w:pPr>
        <w:ind w:firstLine="567"/>
        <w:contextualSpacing/>
        <w:jc w:val="both"/>
        <w:rPr>
          <w:sz w:val="28"/>
          <w:szCs w:val="28"/>
        </w:rPr>
      </w:pPr>
    </w:p>
    <w:p w:rsidR="00DE3D76" w:rsidRDefault="00DE3D76" w:rsidP="00DE3D76">
      <w:pPr>
        <w:ind w:firstLine="709"/>
        <w:jc w:val="both"/>
        <w:rPr>
          <w:color w:val="000000"/>
          <w:sz w:val="28"/>
          <w:szCs w:val="28"/>
        </w:rPr>
      </w:pPr>
      <w:r w:rsidRPr="00243B30">
        <w:rPr>
          <w:sz w:val="28"/>
          <w:szCs w:val="28"/>
        </w:rPr>
        <w:t xml:space="preserve">Респондентами исследования являются в основном работающие граждане в возрасте от </w:t>
      </w:r>
      <w:r>
        <w:rPr>
          <w:sz w:val="28"/>
          <w:szCs w:val="28"/>
        </w:rPr>
        <w:t>18</w:t>
      </w:r>
      <w:r w:rsidRPr="00243B30">
        <w:rPr>
          <w:sz w:val="28"/>
          <w:szCs w:val="28"/>
        </w:rPr>
        <w:t xml:space="preserve"> до </w:t>
      </w:r>
      <w:r>
        <w:rPr>
          <w:sz w:val="28"/>
          <w:szCs w:val="28"/>
        </w:rPr>
        <w:t>65</w:t>
      </w:r>
      <w:r w:rsidRPr="00243B3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старше</w:t>
      </w:r>
      <w:r w:rsidRPr="00243B30">
        <w:rPr>
          <w:sz w:val="28"/>
          <w:szCs w:val="28"/>
        </w:rPr>
        <w:t xml:space="preserve">, преимущественно с высшим </w:t>
      </w:r>
      <w:r>
        <w:rPr>
          <w:sz w:val="28"/>
          <w:szCs w:val="28"/>
        </w:rPr>
        <w:t xml:space="preserve">либо средним профессиональным </w:t>
      </w:r>
      <w:r w:rsidRPr="00243B30">
        <w:rPr>
          <w:sz w:val="28"/>
          <w:szCs w:val="28"/>
        </w:rPr>
        <w:t>образованием</w:t>
      </w:r>
      <w:r>
        <w:rPr>
          <w:sz w:val="28"/>
          <w:szCs w:val="28"/>
        </w:rPr>
        <w:t>,</w:t>
      </w:r>
      <w:r w:rsidRPr="00E75E75">
        <w:rPr>
          <w:color w:val="000000"/>
          <w:sz w:val="28"/>
          <w:szCs w:val="28"/>
        </w:rPr>
        <w:t xml:space="preserve"> </w:t>
      </w:r>
      <w:r w:rsidRPr="002643D2">
        <w:rPr>
          <w:color w:val="000000"/>
          <w:sz w:val="28"/>
          <w:szCs w:val="28"/>
        </w:rPr>
        <w:t xml:space="preserve">имеющие 1 – 2 </w:t>
      </w:r>
      <w:r>
        <w:rPr>
          <w:color w:val="000000"/>
          <w:sz w:val="28"/>
          <w:szCs w:val="28"/>
        </w:rPr>
        <w:t>ребенка</w:t>
      </w:r>
      <w:r w:rsidR="009A73FD">
        <w:rPr>
          <w:color w:val="000000"/>
          <w:sz w:val="28"/>
          <w:szCs w:val="28"/>
        </w:rPr>
        <w:t>.</w:t>
      </w:r>
    </w:p>
    <w:p w:rsidR="00DE3D76" w:rsidRDefault="00510DFC" w:rsidP="00DE3D76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008316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3D76" w:rsidRDefault="00B9460F" w:rsidP="00B9460F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Рис. </w:t>
      </w:r>
      <w:r w:rsidR="00523C46">
        <w:rPr>
          <w:color w:val="000000"/>
        </w:rPr>
        <w:t>3.</w:t>
      </w:r>
      <w:r>
        <w:rPr>
          <w:color w:val="000000"/>
        </w:rPr>
        <w:t>1. Распределение респондентов по возрастным группам</w:t>
      </w:r>
      <w:r w:rsidR="009A73FD">
        <w:rPr>
          <w:color w:val="000000"/>
        </w:rPr>
        <w:t>, % опрошенных</w:t>
      </w:r>
      <w:r>
        <w:rPr>
          <w:color w:val="000000"/>
        </w:rPr>
        <w:t>.</w:t>
      </w:r>
    </w:p>
    <w:p w:rsidR="00B9460F" w:rsidRPr="00B9460F" w:rsidRDefault="00B9460F" w:rsidP="00B9460F">
      <w:pPr>
        <w:ind w:firstLine="709"/>
        <w:jc w:val="center"/>
        <w:rPr>
          <w:color w:val="000000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социальным статусом респонденты разделились на: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работающее население – </w:t>
      </w:r>
      <w:r w:rsidR="00B9460F">
        <w:rPr>
          <w:sz w:val="28"/>
          <w:szCs w:val="28"/>
        </w:rPr>
        <w:t>24</w:t>
      </w:r>
      <w:r>
        <w:rPr>
          <w:sz w:val="28"/>
          <w:szCs w:val="28"/>
        </w:rPr>
        <w:t xml:space="preserve"> чел. (</w:t>
      </w:r>
      <w:r w:rsidR="00B9460F">
        <w:rPr>
          <w:sz w:val="28"/>
          <w:szCs w:val="28"/>
        </w:rPr>
        <w:t>31,2 %, в 2020 году -</w:t>
      </w:r>
      <w:r>
        <w:rPr>
          <w:sz w:val="28"/>
          <w:szCs w:val="28"/>
        </w:rPr>
        <w:t>70 %);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безработные граждане – </w:t>
      </w:r>
      <w:r w:rsidR="00B9460F">
        <w:rPr>
          <w:sz w:val="28"/>
          <w:szCs w:val="28"/>
        </w:rPr>
        <w:t>4</w:t>
      </w:r>
      <w:r>
        <w:rPr>
          <w:sz w:val="28"/>
          <w:szCs w:val="28"/>
        </w:rPr>
        <w:t xml:space="preserve"> чел. (</w:t>
      </w:r>
      <w:r w:rsidR="00B9460F">
        <w:rPr>
          <w:sz w:val="28"/>
          <w:szCs w:val="28"/>
        </w:rPr>
        <w:t xml:space="preserve">5,2 %, в 2020 году - </w:t>
      </w:r>
      <w:r>
        <w:rPr>
          <w:sz w:val="28"/>
          <w:szCs w:val="28"/>
        </w:rPr>
        <w:t>10 %);</w:t>
      </w:r>
    </w:p>
    <w:p w:rsidR="00B9460F" w:rsidRDefault="00B9460F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учащиеся, студенты – 6 чел. (7,8 %, в 2020 году – участия в опросе не принимали);</w:t>
      </w:r>
    </w:p>
    <w:p w:rsidR="00A73B35" w:rsidRDefault="00B9460F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13</w:t>
      </w:r>
      <w:r w:rsidR="00A73B35">
        <w:rPr>
          <w:sz w:val="28"/>
          <w:szCs w:val="28"/>
        </w:rPr>
        <w:t xml:space="preserve"> чел. (</w:t>
      </w:r>
      <w:r>
        <w:rPr>
          <w:sz w:val="28"/>
          <w:szCs w:val="28"/>
        </w:rPr>
        <w:t>16,8 %, в 2020 году -</w:t>
      </w:r>
      <w:r w:rsidR="00A73B35">
        <w:rPr>
          <w:sz w:val="28"/>
          <w:szCs w:val="28"/>
        </w:rPr>
        <w:t>10 %);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домохозяйки – </w:t>
      </w:r>
      <w:r w:rsidR="00B9460F">
        <w:rPr>
          <w:sz w:val="28"/>
          <w:szCs w:val="28"/>
        </w:rPr>
        <w:t>4</w:t>
      </w:r>
      <w:r>
        <w:rPr>
          <w:sz w:val="28"/>
          <w:szCs w:val="28"/>
        </w:rPr>
        <w:t xml:space="preserve"> чел. (</w:t>
      </w:r>
      <w:r w:rsidR="00B9460F">
        <w:rPr>
          <w:sz w:val="28"/>
          <w:szCs w:val="28"/>
        </w:rPr>
        <w:t xml:space="preserve">5,2 %, в 2020 году - </w:t>
      </w:r>
      <w:r>
        <w:rPr>
          <w:sz w:val="28"/>
          <w:szCs w:val="28"/>
        </w:rPr>
        <w:t>5 %)%</w:t>
      </w:r>
    </w:p>
    <w:p w:rsidR="00B9460F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предприниматели – 1</w:t>
      </w:r>
      <w:r w:rsidR="00B9460F">
        <w:rPr>
          <w:sz w:val="28"/>
          <w:szCs w:val="28"/>
        </w:rPr>
        <w:t>7</w:t>
      </w:r>
      <w:r>
        <w:rPr>
          <w:sz w:val="28"/>
          <w:szCs w:val="28"/>
        </w:rPr>
        <w:t xml:space="preserve"> чел</w:t>
      </w:r>
      <w:r w:rsidR="00E176A2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B9460F">
        <w:rPr>
          <w:sz w:val="28"/>
          <w:szCs w:val="28"/>
        </w:rPr>
        <w:t xml:space="preserve">22,1 %, в 2020 году - </w:t>
      </w:r>
      <w:r>
        <w:rPr>
          <w:sz w:val="28"/>
          <w:szCs w:val="28"/>
        </w:rPr>
        <w:t>5 %)</w:t>
      </w:r>
      <w:r w:rsidR="00B9460F">
        <w:rPr>
          <w:sz w:val="28"/>
          <w:szCs w:val="28"/>
        </w:rPr>
        <w:t>;</w:t>
      </w:r>
    </w:p>
    <w:p w:rsidR="00A73B35" w:rsidRDefault="00B9460F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 – 9 чел. (11,7 %, в 2020 году – участия в опросе не принимали)</w:t>
      </w:r>
      <w:r w:rsidR="00A73B35">
        <w:rPr>
          <w:sz w:val="28"/>
          <w:szCs w:val="28"/>
        </w:rPr>
        <w:t xml:space="preserve"> (Рис. </w:t>
      </w:r>
      <w:r w:rsidR="00523C46">
        <w:rPr>
          <w:sz w:val="28"/>
          <w:szCs w:val="28"/>
        </w:rPr>
        <w:t>3.</w:t>
      </w:r>
      <w:r w:rsidR="009A73FD">
        <w:rPr>
          <w:sz w:val="28"/>
          <w:szCs w:val="28"/>
        </w:rPr>
        <w:t>2</w:t>
      </w:r>
      <w:r w:rsidR="00A73B35">
        <w:rPr>
          <w:sz w:val="28"/>
          <w:szCs w:val="28"/>
        </w:rPr>
        <w:t>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E1762B" w:rsidRDefault="00E1762B" w:rsidP="00A73B35">
      <w:pPr>
        <w:ind w:firstLine="567"/>
        <w:contextualSpacing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2008316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3B35" w:rsidRDefault="00A73B35" w:rsidP="00A73B35">
      <w:pPr>
        <w:ind w:firstLine="567"/>
        <w:contextualSpacing/>
        <w:jc w:val="center"/>
        <w:rPr>
          <w:sz w:val="28"/>
          <w:szCs w:val="28"/>
        </w:rPr>
      </w:pPr>
      <w:r>
        <w:t xml:space="preserve">Рис. </w:t>
      </w:r>
      <w:r w:rsidR="00523C46">
        <w:t>3.</w:t>
      </w:r>
      <w:r w:rsidR="009A73FD">
        <w:t>2</w:t>
      </w:r>
      <w:r>
        <w:t xml:space="preserve">. Социальный статус </w:t>
      </w:r>
      <w:r w:rsidR="002410E8">
        <w:t xml:space="preserve">опрошенных </w:t>
      </w:r>
      <w:r>
        <w:t>респондентов</w:t>
      </w:r>
      <w:r w:rsidR="009A73FD">
        <w:t>, % опрошенных</w:t>
      </w:r>
      <w:r>
        <w:t>.</w:t>
      </w:r>
    </w:p>
    <w:p w:rsidR="00A73B35" w:rsidRDefault="00A73B35" w:rsidP="00A73B35">
      <w:pPr>
        <w:ind w:firstLine="567"/>
        <w:contextualSpacing/>
        <w:jc w:val="center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иждивении </w:t>
      </w:r>
      <w:r w:rsidR="00E176A2">
        <w:rPr>
          <w:sz w:val="28"/>
          <w:szCs w:val="28"/>
        </w:rPr>
        <w:t>28</w:t>
      </w:r>
      <w:r>
        <w:rPr>
          <w:sz w:val="28"/>
          <w:szCs w:val="28"/>
        </w:rPr>
        <w:t xml:space="preserve"> опрошенных респондентов (</w:t>
      </w:r>
      <w:r w:rsidR="00E176A2">
        <w:rPr>
          <w:sz w:val="28"/>
          <w:szCs w:val="28"/>
        </w:rPr>
        <w:t xml:space="preserve">36,4 %, в 2020 году - </w:t>
      </w:r>
      <w:r>
        <w:rPr>
          <w:sz w:val="28"/>
          <w:szCs w:val="28"/>
        </w:rPr>
        <w:t>60 %) находятся по</w:t>
      </w:r>
      <w:r w:rsidR="00E176A2">
        <w:rPr>
          <w:sz w:val="28"/>
          <w:szCs w:val="28"/>
        </w:rPr>
        <w:t xml:space="preserve"> два несовершеннолетних ребенка</w:t>
      </w:r>
      <w:r w:rsidR="00A079A1">
        <w:rPr>
          <w:sz w:val="28"/>
          <w:szCs w:val="28"/>
        </w:rPr>
        <w:t>.</w:t>
      </w:r>
      <w:r w:rsidR="00E17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76A2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E176A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E176A2">
        <w:rPr>
          <w:sz w:val="28"/>
          <w:szCs w:val="28"/>
        </w:rPr>
        <w:t>29,8 %</w:t>
      </w:r>
      <w:r>
        <w:rPr>
          <w:sz w:val="28"/>
          <w:szCs w:val="28"/>
        </w:rPr>
        <w:t>) отметили, что имеют по одному несовершеннолетнему ребенку</w:t>
      </w:r>
      <w:r w:rsidR="00E176A2">
        <w:rPr>
          <w:sz w:val="28"/>
          <w:szCs w:val="28"/>
        </w:rPr>
        <w:t xml:space="preserve"> (в 2020 году – 30 %)</w:t>
      </w:r>
      <w:r>
        <w:rPr>
          <w:sz w:val="28"/>
          <w:szCs w:val="28"/>
        </w:rPr>
        <w:t xml:space="preserve">, у </w:t>
      </w:r>
      <w:r w:rsidR="00A079A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079A1">
        <w:rPr>
          <w:sz w:val="28"/>
          <w:szCs w:val="28"/>
        </w:rPr>
        <w:t>респондента, принявшего участие в опросе</w:t>
      </w:r>
      <w:r>
        <w:rPr>
          <w:sz w:val="28"/>
          <w:szCs w:val="28"/>
        </w:rPr>
        <w:t xml:space="preserve"> (</w:t>
      </w:r>
      <w:r w:rsidR="00A079A1">
        <w:rPr>
          <w:sz w:val="28"/>
          <w:szCs w:val="28"/>
        </w:rPr>
        <w:t>27,3</w:t>
      </w:r>
      <w:r>
        <w:rPr>
          <w:sz w:val="28"/>
          <w:szCs w:val="28"/>
        </w:rPr>
        <w:t xml:space="preserve"> %) детей нет</w:t>
      </w:r>
      <w:r w:rsidR="00A079A1">
        <w:rPr>
          <w:sz w:val="28"/>
          <w:szCs w:val="28"/>
        </w:rPr>
        <w:t xml:space="preserve"> (в 2020 году – 10%)</w:t>
      </w:r>
      <w:r>
        <w:rPr>
          <w:sz w:val="28"/>
          <w:szCs w:val="28"/>
        </w:rPr>
        <w:t>.</w:t>
      </w:r>
      <w:r w:rsidR="00A079A1">
        <w:rPr>
          <w:sz w:val="28"/>
          <w:szCs w:val="28"/>
        </w:rPr>
        <w:t xml:space="preserve"> 5 человек (6,5 %) имеют троих несовершеннолетних детей (в 2020 году – позиция не отмечена)</w:t>
      </w:r>
      <w:r w:rsidR="009A73FD">
        <w:rPr>
          <w:sz w:val="28"/>
          <w:szCs w:val="28"/>
        </w:rPr>
        <w:t xml:space="preserve"> (Рис. </w:t>
      </w:r>
      <w:r w:rsidR="00523C46">
        <w:rPr>
          <w:sz w:val="28"/>
          <w:szCs w:val="28"/>
        </w:rPr>
        <w:t>3.</w:t>
      </w:r>
      <w:r w:rsidR="009A73FD">
        <w:rPr>
          <w:sz w:val="28"/>
          <w:szCs w:val="28"/>
        </w:rPr>
        <w:t>3)</w:t>
      </w:r>
      <w:r w:rsidR="00A079A1">
        <w:rPr>
          <w:sz w:val="28"/>
          <w:szCs w:val="28"/>
        </w:rPr>
        <w:t>.</w:t>
      </w:r>
    </w:p>
    <w:p w:rsidR="00A079A1" w:rsidRDefault="00A079A1" w:rsidP="009A73FD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FA17EF" wp14:editId="46750D9B">
            <wp:extent cx="6120130" cy="1819275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3FD" w:rsidRDefault="009A73FD" w:rsidP="009A73FD">
      <w:pPr>
        <w:ind w:firstLine="567"/>
        <w:contextualSpacing/>
        <w:jc w:val="center"/>
        <w:rPr>
          <w:sz w:val="28"/>
          <w:szCs w:val="28"/>
        </w:rPr>
      </w:pPr>
      <w:r>
        <w:t xml:space="preserve">Рис. </w:t>
      </w:r>
      <w:r w:rsidR="00523C46">
        <w:t>3.</w:t>
      </w:r>
      <w:r>
        <w:t>3. Распределение опрошенных респондентов по количеству несовершеннолетних детей, % опрошенных.</w:t>
      </w:r>
    </w:p>
    <w:p w:rsidR="009A73FD" w:rsidRDefault="009A73FD" w:rsidP="009A73FD">
      <w:pPr>
        <w:ind w:firstLine="567"/>
        <w:contextualSpacing/>
        <w:jc w:val="both"/>
        <w:rPr>
          <w:sz w:val="28"/>
          <w:szCs w:val="28"/>
        </w:rPr>
      </w:pPr>
    </w:p>
    <w:p w:rsidR="009A73FD" w:rsidRDefault="009A73FD" w:rsidP="009A73FD">
      <w:pPr>
        <w:ind w:firstLine="567"/>
        <w:contextualSpacing/>
        <w:jc w:val="both"/>
        <w:rPr>
          <w:sz w:val="28"/>
          <w:szCs w:val="28"/>
        </w:rPr>
      </w:pPr>
      <w:r w:rsidRPr="009A73FD">
        <w:rPr>
          <w:sz w:val="28"/>
          <w:szCs w:val="28"/>
        </w:rPr>
        <w:t xml:space="preserve">Основную долю граждан, принявших участие в опросе, составили люди со средним профессиональным </w:t>
      </w:r>
      <w:r>
        <w:rPr>
          <w:sz w:val="28"/>
          <w:szCs w:val="28"/>
        </w:rPr>
        <w:t xml:space="preserve">либо высшим </w:t>
      </w:r>
      <w:r w:rsidRPr="009A73FD">
        <w:rPr>
          <w:sz w:val="28"/>
          <w:szCs w:val="28"/>
        </w:rPr>
        <w:t>образованием (</w:t>
      </w:r>
      <w:r>
        <w:rPr>
          <w:sz w:val="28"/>
          <w:szCs w:val="28"/>
        </w:rPr>
        <w:t xml:space="preserve">33,8% и 39 % соответственно), 20,8 % респондентов имеют среднее общее образование, 6,5 % - основное общее образование (Рис. </w:t>
      </w:r>
      <w:r w:rsidR="00523C46">
        <w:rPr>
          <w:sz w:val="28"/>
          <w:szCs w:val="28"/>
        </w:rPr>
        <w:t>3.</w:t>
      </w:r>
      <w:r>
        <w:rPr>
          <w:sz w:val="28"/>
          <w:szCs w:val="28"/>
        </w:rPr>
        <w:t>4).</w:t>
      </w:r>
    </w:p>
    <w:p w:rsidR="009A73FD" w:rsidRDefault="009A73FD" w:rsidP="009A73FD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A84E82" wp14:editId="6BD8CAFC">
            <wp:extent cx="6120130" cy="1876425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54E7" w:rsidRDefault="005654E7" w:rsidP="005654E7">
      <w:pPr>
        <w:ind w:firstLine="567"/>
        <w:contextualSpacing/>
        <w:jc w:val="center"/>
      </w:pPr>
      <w:r>
        <w:t xml:space="preserve">Рис. </w:t>
      </w:r>
      <w:r w:rsidR="00523C46">
        <w:t>3.</w:t>
      </w:r>
      <w:r>
        <w:t>4. Распределение опрошенных респондентов по уровню образования,</w:t>
      </w:r>
    </w:p>
    <w:p w:rsidR="005654E7" w:rsidRDefault="005654E7" w:rsidP="005654E7">
      <w:pPr>
        <w:ind w:firstLine="567"/>
        <w:contextualSpacing/>
        <w:jc w:val="center"/>
        <w:rPr>
          <w:sz w:val="28"/>
          <w:szCs w:val="28"/>
        </w:rPr>
      </w:pPr>
      <w:r>
        <w:t xml:space="preserve"> % опрошенных.</w:t>
      </w:r>
    </w:p>
    <w:p w:rsidR="009A73FD" w:rsidRPr="009A73FD" w:rsidRDefault="009A73FD" w:rsidP="009A73FD">
      <w:pPr>
        <w:ind w:firstLine="567"/>
        <w:contextualSpacing/>
        <w:jc w:val="both"/>
        <w:rPr>
          <w:sz w:val="28"/>
          <w:szCs w:val="28"/>
        </w:rPr>
      </w:pPr>
    </w:p>
    <w:p w:rsidR="009A73FD" w:rsidRDefault="009A73FD" w:rsidP="009A73FD">
      <w:pPr>
        <w:ind w:firstLine="567"/>
        <w:contextualSpacing/>
        <w:jc w:val="both"/>
        <w:rPr>
          <w:b/>
          <w:sz w:val="28"/>
          <w:szCs w:val="28"/>
        </w:rPr>
      </w:pPr>
      <w:r w:rsidRPr="00FD22AD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 Мониторинг материального положения населения Ставропольского края.</w:t>
      </w:r>
    </w:p>
    <w:p w:rsidR="0035666F" w:rsidRDefault="009B4541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материального положения жителей Советского городского округа показал, что в-основном, преобладают граждане со средним уровнем доходов. </w:t>
      </w:r>
      <w:r w:rsidR="0035666F">
        <w:rPr>
          <w:sz w:val="28"/>
          <w:szCs w:val="28"/>
        </w:rPr>
        <w:t>Однако, за 2021 год увеличилась как доля высокообеспеченных граждан, так и доля граждан с низким уровнем дохода семьи.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материальное положение семьи </w:t>
      </w:r>
      <w:r w:rsidR="0035666F">
        <w:rPr>
          <w:sz w:val="28"/>
          <w:szCs w:val="28"/>
        </w:rPr>
        <w:t>27,3 %</w:t>
      </w:r>
      <w:r>
        <w:rPr>
          <w:sz w:val="28"/>
          <w:szCs w:val="28"/>
        </w:rPr>
        <w:t xml:space="preserve"> опрошенных респондентов указали, что денег хватает на еду и одежду, но для покупки бытовой техники им требуются накопления или кредитные ресурсы</w:t>
      </w:r>
      <w:r w:rsidR="0035666F">
        <w:rPr>
          <w:sz w:val="28"/>
          <w:szCs w:val="28"/>
        </w:rPr>
        <w:t xml:space="preserve"> (в 2020 году 40 %)</w:t>
      </w:r>
      <w:r>
        <w:rPr>
          <w:sz w:val="28"/>
          <w:szCs w:val="28"/>
        </w:rPr>
        <w:t>.</w:t>
      </w:r>
    </w:p>
    <w:p w:rsidR="00A73B35" w:rsidRDefault="0035666F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73B35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32,5</w:t>
      </w:r>
      <w:r w:rsidR="00A73B35">
        <w:rPr>
          <w:sz w:val="28"/>
          <w:szCs w:val="28"/>
        </w:rPr>
        <w:t xml:space="preserve"> %) оценили свое материальное положение как возможность приобрести бытовую технику без привлечения заемных средств, а вот покупка автомобиля – это непозволительная роскошь</w:t>
      </w:r>
      <w:r>
        <w:rPr>
          <w:sz w:val="28"/>
          <w:szCs w:val="28"/>
        </w:rPr>
        <w:t xml:space="preserve"> (в 2020 году – 35 %)</w:t>
      </w:r>
      <w:r w:rsidR="00A73B35">
        <w:rPr>
          <w:sz w:val="28"/>
          <w:szCs w:val="28"/>
        </w:rPr>
        <w:t>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5666F">
        <w:rPr>
          <w:sz w:val="28"/>
          <w:szCs w:val="28"/>
        </w:rPr>
        <w:t>16,8</w:t>
      </w:r>
      <w:r>
        <w:rPr>
          <w:sz w:val="28"/>
          <w:szCs w:val="28"/>
        </w:rPr>
        <w:t xml:space="preserve"> % опрошенных (</w:t>
      </w:r>
      <w:r w:rsidR="0035666F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человек) денег хватает только на еду</w:t>
      </w:r>
      <w:r w:rsidR="0035666F">
        <w:rPr>
          <w:sz w:val="28"/>
          <w:szCs w:val="28"/>
        </w:rPr>
        <w:t xml:space="preserve"> (в 2020 году – 20 %)</w:t>
      </w:r>
      <w:r>
        <w:rPr>
          <w:sz w:val="28"/>
          <w:szCs w:val="28"/>
        </w:rPr>
        <w:t>.</w:t>
      </w:r>
    </w:p>
    <w:p w:rsidR="0035666F" w:rsidRDefault="0035666F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 раза (с 5% до 10,4 %) в 2021 году увеличилась доля тех, кто </w:t>
      </w:r>
      <w:r w:rsidR="00A73B35">
        <w:rPr>
          <w:sz w:val="28"/>
          <w:szCs w:val="28"/>
        </w:rPr>
        <w:t>указал, что может себе позволить очень многое, но прибегнуть к накоплению средств в целях покупки, например, квартиры, возможности не имеет</w:t>
      </w:r>
      <w:r>
        <w:rPr>
          <w:sz w:val="28"/>
          <w:szCs w:val="28"/>
        </w:rPr>
        <w:t>.</w:t>
      </w:r>
    </w:p>
    <w:p w:rsidR="0035666F" w:rsidRDefault="0035666F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3,7 % граждан заявили, что у них нет </w:t>
      </w:r>
      <w:r w:rsidRPr="0035666F">
        <w:rPr>
          <w:sz w:val="28"/>
          <w:szCs w:val="28"/>
        </w:rPr>
        <w:t xml:space="preserve">никаких финансовых затруднений. При необходимости </w:t>
      </w:r>
      <w:r>
        <w:rPr>
          <w:sz w:val="28"/>
          <w:szCs w:val="28"/>
        </w:rPr>
        <w:t>они смогут</w:t>
      </w:r>
      <w:r w:rsidRPr="0035666F">
        <w:rPr>
          <w:sz w:val="28"/>
          <w:szCs w:val="28"/>
        </w:rPr>
        <w:t xml:space="preserve"> купить </w:t>
      </w:r>
      <w:r>
        <w:rPr>
          <w:sz w:val="28"/>
          <w:szCs w:val="28"/>
        </w:rPr>
        <w:t>себе квартиру или дом (в 2020 году данная позиция отмечена не была).</w:t>
      </w:r>
    </w:p>
    <w:p w:rsidR="00A73B35" w:rsidRDefault="0035666F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Однако, по итогам опроса 2021 года появилась категория граждан, у которых не всегда денег хватает даже на еду (</w:t>
      </w:r>
      <w:r w:rsidR="007F4437">
        <w:rPr>
          <w:sz w:val="28"/>
          <w:szCs w:val="28"/>
        </w:rPr>
        <w:t xml:space="preserve">9,1 %, в 2020 году данная позиция отмечена не </w:t>
      </w:r>
      <w:proofErr w:type="gramStart"/>
      <w:r w:rsidR="007F4437">
        <w:rPr>
          <w:sz w:val="28"/>
          <w:szCs w:val="28"/>
        </w:rPr>
        <w:t xml:space="preserve">была) </w:t>
      </w:r>
      <w:r w:rsidR="00A73B35">
        <w:rPr>
          <w:sz w:val="28"/>
          <w:szCs w:val="28"/>
        </w:rPr>
        <w:t xml:space="preserve"> (</w:t>
      </w:r>
      <w:proofErr w:type="gramEnd"/>
      <w:r w:rsidR="00A73B35">
        <w:rPr>
          <w:sz w:val="28"/>
          <w:szCs w:val="28"/>
        </w:rPr>
        <w:t xml:space="preserve">Рис. </w:t>
      </w:r>
      <w:r w:rsidR="00523C46">
        <w:rPr>
          <w:sz w:val="28"/>
          <w:szCs w:val="28"/>
        </w:rPr>
        <w:t>3.</w:t>
      </w:r>
      <w:r w:rsidR="007F4437">
        <w:rPr>
          <w:sz w:val="28"/>
          <w:szCs w:val="28"/>
        </w:rPr>
        <w:t>5</w:t>
      </w:r>
      <w:r w:rsidR="00A73B35">
        <w:rPr>
          <w:sz w:val="28"/>
          <w:szCs w:val="28"/>
        </w:rPr>
        <w:t>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7F4437" w:rsidRDefault="007F4437" w:rsidP="007F44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3619500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3B35" w:rsidRDefault="00A73B35" w:rsidP="00A73B35">
      <w:pPr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center"/>
      </w:pPr>
      <w:r>
        <w:t xml:space="preserve">Рис. </w:t>
      </w:r>
      <w:r w:rsidR="00523C46">
        <w:t>3.</w:t>
      </w:r>
      <w:r w:rsidR="007F4437">
        <w:t>5</w:t>
      </w:r>
      <w:r>
        <w:t>. Уровень материального положения семьи</w:t>
      </w:r>
      <w:r w:rsidR="007F4437">
        <w:t>, % опрошенных</w:t>
      </w:r>
      <w:r>
        <w:t>.</w:t>
      </w:r>
    </w:p>
    <w:p w:rsidR="00A73B35" w:rsidRDefault="00A73B35" w:rsidP="00A73B35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 Мониторинг востребованности финансовых услуг за последние 12 месяцев.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показали, что за последние </w:t>
      </w:r>
      <w:r w:rsidR="00BC2132">
        <w:rPr>
          <w:sz w:val="28"/>
          <w:szCs w:val="28"/>
        </w:rPr>
        <w:t>2 года</w:t>
      </w:r>
      <w:r>
        <w:rPr>
          <w:sz w:val="28"/>
          <w:szCs w:val="28"/>
        </w:rPr>
        <w:t xml:space="preserve"> население, в основном, использует для хранения финансовых средств банковские вклады (в том числе банковские карты). Данным видом размещения денежных средств в настоящее время пользуются </w:t>
      </w:r>
      <w:r w:rsidR="00BC2132">
        <w:rPr>
          <w:sz w:val="28"/>
          <w:szCs w:val="28"/>
        </w:rPr>
        <w:t xml:space="preserve">62 из 77 опрошенных респондентов (80,5 %, в 2020 году - </w:t>
      </w:r>
      <w:r>
        <w:rPr>
          <w:sz w:val="28"/>
          <w:szCs w:val="28"/>
        </w:rPr>
        <w:t xml:space="preserve">15 из 20 опрошенных респондентов </w:t>
      </w:r>
      <w:r w:rsidR="00BC213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75 %). Не используют </w:t>
      </w:r>
      <w:proofErr w:type="gramStart"/>
      <w:r>
        <w:rPr>
          <w:sz w:val="28"/>
          <w:szCs w:val="28"/>
        </w:rPr>
        <w:t>банковские  вклады</w:t>
      </w:r>
      <w:proofErr w:type="gramEnd"/>
      <w:r>
        <w:rPr>
          <w:sz w:val="28"/>
          <w:szCs w:val="28"/>
        </w:rPr>
        <w:t xml:space="preserve"> сейчас, но использовали в течение последних 12 месяцев – </w:t>
      </w:r>
      <w:r w:rsidR="00BC2132">
        <w:rPr>
          <w:sz w:val="28"/>
          <w:szCs w:val="28"/>
        </w:rPr>
        <w:t xml:space="preserve">3 из 77 опрошенных респондентов (3,9 %, в 2020 году - </w:t>
      </w:r>
      <w:r>
        <w:rPr>
          <w:sz w:val="28"/>
          <w:szCs w:val="28"/>
        </w:rPr>
        <w:t xml:space="preserve">4 из 20 опрошенных респондентов </w:t>
      </w:r>
      <w:r w:rsidR="00BC213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20 %). Принципиально не пользуются банковскими вкладами – </w:t>
      </w:r>
      <w:r w:rsidR="00BC2132">
        <w:rPr>
          <w:sz w:val="28"/>
          <w:szCs w:val="28"/>
        </w:rPr>
        <w:t xml:space="preserve">12 из 77 опрошенных респондентов (15,6 %, в 2020 году - </w:t>
      </w:r>
      <w:r>
        <w:rPr>
          <w:sz w:val="28"/>
          <w:szCs w:val="28"/>
        </w:rPr>
        <w:t xml:space="preserve">1 из 20 опрошенных респондентов (5 %) (Рис. </w:t>
      </w:r>
      <w:r w:rsidR="00523C46">
        <w:rPr>
          <w:sz w:val="28"/>
          <w:szCs w:val="28"/>
        </w:rPr>
        <w:t>3.</w:t>
      </w:r>
      <w:r w:rsidR="00BC2132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BC2132" w:rsidRDefault="00BC2132" w:rsidP="00BC21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9645" cy="2913380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2006" w:rsidRDefault="00082006" w:rsidP="00A73B35">
      <w:pPr>
        <w:ind w:firstLine="567"/>
        <w:contextualSpacing/>
        <w:jc w:val="center"/>
      </w:pPr>
    </w:p>
    <w:p w:rsidR="00A73B35" w:rsidRDefault="00A73B35" w:rsidP="00A73B35">
      <w:pPr>
        <w:ind w:firstLine="567"/>
        <w:contextualSpacing/>
        <w:jc w:val="center"/>
      </w:pPr>
      <w:r>
        <w:t xml:space="preserve">Рис. </w:t>
      </w:r>
      <w:r w:rsidR="00523C46">
        <w:t>3.</w:t>
      </w:r>
      <w:r w:rsidR="00BC2132">
        <w:t>6</w:t>
      </w:r>
      <w:r>
        <w:t>. Востребованность банковских вкладов среди населения</w:t>
      </w:r>
      <w:r w:rsidR="00BC2132">
        <w:t>, % опрошенных.</w:t>
      </w:r>
    </w:p>
    <w:p w:rsidR="00A73B35" w:rsidRPr="007D27A5" w:rsidRDefault="00A73B35" w:rsidP="00A73B35">
      <w:pPr>
        <w:ind w:firstLine="567"/>
        <w:contextualSpacing/>
        <w:jc w:val="center"/>
      </w:pPr>
    </w:p>
    <w:p w:rsidR="00082614" w:rsidRDefault="00082614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денежные средства </w:t>
      </w:r>
      <w:r w:rsidR="00157086">
        <w:rPr>
          <w:sz w:val="28"/>
          <w:szCs w:val="28"/>
        </w:rPr>
        <w:t xml:space="preserve">на момент проведения опроса жители округа </w:t>
      </w:r>
      <w:r>
        <w:rPr>
          <w:sz w:val="28"/>
          <w:szCs w:val="28"/>
        </w:rPr>
        <w:t>размещают: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займа в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организации - </w:t>
      </w:r>
      <w:r w:rsidR="00157086">
        <w:rPr>
          <w:sz w:val="28"/>
          <w:szCs w:val="28"/>
        </w:rPr>
        <w:t>7</w:t>
      </w:r>
      <w:r>
        <w:rPr>
          <w:sz w:val="28"/>
          <w:szCs w:val="28"/>
        </w:rPr>
        <w:t xml:space="preserve"> из </w:t>
      </w:r>
      <w:r w:rsidR="00157086">
        <w:rPr>
          <w:sz w:val="28"/>
          <w:szCs w:val="28"/>
        </w:rPr>
        <w:t>77</w:t>
      </w:r>
      <w:r>
        <w:rPr>
          <w:sz w:val="28"/>
          <w:szCs w:val="28"/>
        </w:rPr>
        <w:t xml:space="preserve"> опрошенных респондентов (</w:t>
      </w:r>
      <w:r w:rsidR="00157086">
        <w:rPr>
          <w:sz w:val="28"/>
          <w:szCs w:val="28"/>
        </w:rPr>
        <w:t>9,1</w:t>
      </w:r>
      <w:r>
        <w:rPr>
          <w:sz w:val="28"/>
          <w:szCs w:val="28"/>
        </w:rPr>
        <w:t xml:space="preserve"> %</w:t>
      </w:r>
      <w:r w:rsidR="00157086">
        <w:rPr>
          <w:sz w:val="28"/>
          <w:szCs w:val="28"/>
        </w:rPr>
        <w:t>, в 2020 году – 5 %);</w:t>
      </w:r>
    </w:p>
    <w:p w:rsidR="00157086" w:rsidRDefault="00157086" w:rsidP="0015708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86">
        <w:rPr>
          <w:sz w:val="28"/>
          <w:szCs w:val="28"/>
        </w:rPr>
        <w:t>в форме займа в кредитном потребительском кооперативе</w:t>
      </w:r>
      <w:r>
        <w:rPr>
          <w:sz w:val="28"/>
          <w:szCs w:val="28"/>
        </w:rPr>
        <w:t xml:space="preserve"> - 4 из 77 опрошенных респондентов (5,2 %, в 2020 году – позиция не отмечена);</w:t>
      </w:r>
    </w:p>
    <w:p w:rsidR="00157086" w:rsidRDefault="00157086" w:rsidP="0015708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86">
        <w:rPr>
          <w:sz w:val="28"/>
          <w:szCs w:val="28"/>
        </w:rPr>
        <w:t>в форме займа в сельскохозяйственном кредитном потребительском кооперативе</w:t>
      </w:r>
      <w:r>
        <w:rPr>
          <w:sz w:val="28"/>
          <w:szCs w:val="28"/>
        </w:rPr>
        <w:t xml:space="preserve"> - 6 из 77 опрошенных респондентов (7,8 %, в 2020 году – позиция не отмечена);</w:t>
      </w:r>
    </w:p>
    <w:p w:rsidR="00BE32A5" w:rsidRDefault="00BE32A5" w:rsidP="00BE32A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форме и</w:t>
      </w:r>
      <w:r w:rsidRPr="00BE32A5">
        <w:rPr>
          <w:sz w:val="28"/>
          <w:szCs w:val="28"/>
        </w:rPr>
        <w:t>ндивидуальн</w:t>
      </w:r>
      <w:r>
        <w:rPr>
          <w:sz w:val="28"/>
          <w:szCs w:val="28"/>
        </w:rPr>
        <w:t>ого</w:t>
      </w:r>
      <w:r w:rsidRPr="00BE32A5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BE32A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 16 из 77 опрошенных респондентов (20,8 %, в 2020 году – позиция не отмечена);</w:t>
      </w:r>
    </w:p>
    <w:p w:rsidR="00BE32A5" w:rsidRDefault="00BE32A5" w:rsidP="00157086">
      <w:pPr>
        <w:ind w:firstLine="567"/>
        <w:contextualSpacing/>
        <w:jc w:val="both"/>
        <w:rPr>
          <w:sz w:val="28"/>
          <w:szCs w:val="28"/>
        </w:rPr>
      </w:pPr>
    </w:p>
    <w:p w:rsidR="00157086" w:rsidRDefault="00157086" w:rsidP="00157086">
      <w:pPr>
        <w:ind w:firstLine="567"/>
        <w:contextualSpacing/>
        <w:jc w:val="both"/>
        <w:rPr>
          <w:sz w:val="28"/>
          <w:szCs w:val="28"/>
        </w:rPr>
      </w:pPr>
    </w:p>
    <w:p w:rsidR="00157086" w:rsidRDefault="00157086" w:rsidP="00A73B35">
      <w:pPr>
        <w:ind w:firstLine="567"/>
        <w:contextualSpacing/>
        <w:jc w:val="both"/>
        <w:rPr>
          <w:sz w:val="28"/>
          <w:szCs w:val="28"/>
        </w:rPr>
      </w:pPr>
    </w:p>
    <w:p w:rsidR="00BE32A5" w:rsidRDefault="00A73B35" w:rsidP="00BE32A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форме инвестиционного страхования жизни - </w:t>
      </w:r>
      <w:r w:rsidR="00BE32A5">
        <w:rPr>
          <w:sz w:val="28"/>
          <w:szCs w:val="28"/>
        </w:rPr>
        <w:t>5 из 77 опрошенных респондентов (6,5 %, в 2020 году – 5 %);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один из опрошенных респондентов в течение последних </w:t>
      </w:r>
      <w:r w:rsidR="00BE32A5">
        <w:rPr>
          <w:sz w:val="28"/>
          <w:szCs w:val="28"/>
        </w:rPr>
        <w:t>2 года</w:t>
      </w:r>
      <w:r>
        <w:rPr>
          <w:sz w:val="28"/>
          <w:szCs w:val="28"/>
        </w:rPr>
        <w:t xml:space="preserve"> не размещал денежные средства </w:t>
      </w:r>
      <w:r w:rsidR="00BE32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брокерских счетах, в паевых инвестиционных фондах (Рис. </w:t>
      </w:r>
      <w:r w:rsidR="00523C46">
        <w:rPr>
          <w:sz w:val="28"/>
          <w:szCs w:val="28"/>
        </w:rPr>
        <w:t>3.</w:t>
      </w:r>
      <w:r w:rsidR="00BE32A5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BE32A5" w:rsidRDefault="00BE32A5" w:rsidP="00BE32A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9645" cy="2913380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2006" w:rsidRDefault="00082006" w:rsidP="00A73B35">
      <w:pPr>
        <w:contextualSpacing/>
        <w:jc w:val="center"/>
      </w:pPr>
    </w:p>
    <w:p w:rsidR="00A73B35" w:rsidRDefault="00A73B35" w:rsidP="00A73B35">
      <w:pPr>
        <w:contextualSpacing/>
        <w:jc w:val="center"/>
      </w:pPr>
      <w:r w:rsidRPr="006403C8">
        <w:t xml:space="preserve"> </w:t>
      </w:r>
      <w:r>
        <w:t xml:space="preserve">Рис. </w:t>
      </w:r>
      <w:r w:rsidR="00523C46">
        <w:t>3.</w:t>
      </w:r>
      <w:r w:rsidR="00BE32A5">
        <w:t>7</w:t>
      </w:r>
      <w:r>
        <w:t xml:space="preserve">. Востребованность кредитных организаций для </w:t>
      </w:r>
      <w:r w:rsidR="00BE32A5">
        <w:t>размещения денежных средств</w:t>
      </w:r>
      <w:r>
        <w:t xml:space="preserve"> среди населения</w:t>
      </w:r>
      <w:r w:rsidR="00BE32A5">
        <w:t>, % опрошенных</w:t>
      </w:r>
    </w:p>
    <w:p w:rsidR="00A73B35" w:rsidRDefault="00A73B35" w:rsidP="00A73B35">
      <w:pPr>
        <w:contextualSpacing/>
        <w:jc w:val="both"/>
        <w:rPr>
          <w:sz w:val="28"/>
          <w:szCs w:val="28"/>
        </w:rPr>
      </w:pPr>
    </w:p>
    <w:p w:rsidR="00A73B35" w:rsidRDefault="00CA381B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человек или 15,6 % опрошенных граждан, не используют ни один из перечисленных выше способов размещения свободных денежных средств. </w:t>
      </w:r>
      <w:r w:rsidR="00A73B35">
        <w:rPr>
          <w:sz w:val="28"/>
          <w:szCs w:val="28"/>
        </w:rPr>
        <w:t>В качестве основных причин, по которым респонденты не используют данные финансовые продукты, были названы: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достаточного количества свободных денежных средств для размещения в финансовых организациях – </w:t>
      </w:r>
      <w:r w:rsidR="00CA381B">
        <w:rPr>
          <w:sz w:val="28"/>
          <w:szCs w:val="28"/>
        </w:rPr>
        <w:t>12 чел. (100 % опрошенных респондентов, не использующих ни один из способов размещения денежных средств)</w:t>
      </w:r>
      <w:r>
        <w:rPr>
          <w:sz w:val="28"/>
          <w:szCs w:val="28"/>
        </w:rPr>
        <w:t>;</w:t>
      </w:r>
    </w:p>
    <w:p w:rsidR="00CA381B" w:rsidRDefault="00A73B35" w:rsidP="00CA381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слишком низкая (для продуктов с процентным доходом) процентная ставка -</w:t>
      </w:r>
      <w:r w:rsidR="00CA381B">
        <w:rPr>
          <w:sz w:val="28"/>
          <w:szCs w:val="28"/>
        </w:rPr>
        <w:t>7 чел. (58,3 % опрошенных респондентов, не использующих ни один из способов размещения денежных средств);</w:t>
      </w:r>
    </w:p>
    <w:p w:rsidR="00CA381B" w:rsidRDefault="00A73B35" w:rsidP="00CA381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недоверие финансовым организациям – </w:t>
      </w:r>
      <w:r w:rsidR="00CA381B">
        <w:rPr>
          <w:sz w:val="28"/>
          <w:szCs w:val="28"/>
        </w:rPr>
        <w:t>8 чел. (66,6 % опрошенных респондентов, не использующих ни один из способов размещения денежных средств);</w:t>
      </w:r>
    </w:p>
    <w:p w:rsidR="00CA381B" w:rsidRDefault="00A73B35" w:rsidP="00CA381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других способов размещения свободных денежных средств –</w:t>
      </w:r>
      <w:r w:rsidR="00CA381B">
        <w:rPr>
          <w:sz w:val="28"/>
          <w:szCs w:val="28"/>
        </w:rPr>
        <w:t xml:space="preserve"> 6 чел. (50 % опрошенных респондентов, не использующих ни один из способов размещения денежных средств);</w:t>
      </w:r>
    </w:p>
    <w:p w:rsidR="00CA381B" w:rsidRDefault="00A73B35" w:rsidP="00CA381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данных продуктов другими членами семьи – </w:t>
      </w:r>
      <w:r w:rsidR="00CA381B">
        <w:rPr>
          <w:sz w:val="28"/>
          <w:szCs w:val="28"/>
        </w:rPr>
        <w:t>8 чел. (66,6 % опрошенных респондентов, не использующих ни один из способов размещения денежных средств).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получения кредитных ресурсов население, в основном,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</w:t>
      </w:r>
      <w:r w:rsidR="00CA381B">
        <w:rPr>
          <w:sz w:val="28"/>
          <w:szCs w:val="28"/>
        </w:rPr>
        <w:t xml:space="preserve">как и в прошлом году, </w:t>
      </w:r>
      <w:r>
        <w:rPr>
          <w:sz w:val="28"/>
          <w:szCs w:val="28"/>
        </w:rPr>
        <w:t xml:space="preserve">использует банки. Так, из </w:t>
      </w:r>
      <w:r w:rsidR="00134AE6">
        <w:rPr>
          <w:sz w:val="28"/>
          <w:szCs w:val="28"/>
        </w:rPr>
        <w:t>77</w:t>
      </w:r>
      <w:r>
        <w:rPr>
          <w:sz w:val="28"/>
          <w:szCs w:val="28"/>
        </w:rPr>
        <w:t xml:space="preserve"> опрошенных респондентов в настоящее время используют: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 в банке, не являющийся онлайн-кредитом – </w:t>
      </w:r>
      <w:r w:rsidR="00134AE6">
        <w:rPr>
          <w:sz w:val="28"/>
          <w:szCs w:val="28"/>
        </w:rPr>
        <w:t xml:space="preserve">12 чел. (15,6 % опрошенных респондентов, в 2020 году - </w:t>
      </w:r>
      <w:r>
        <w:rPr>
          <w:sz w:val="28"/>
          <w:szCs w:val="28"/>
        </w:rPr>
        <w:t>20 % опрошенных респондентов);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онлайн-кредит в банке – </w:t>
      </w:r>
      <w:r w:rsidR="00134AE6">
        <w:rPr>
          <w:sz w:val="28"/>
          <w:szCs w:val="28"/>
        </w:rPr>
        <w:t>8 чел. (10,4 % опрошенных респондентов, в 2020 году – 5 % опрошенных респондентов);</w:t>
      </w:r>
    </w:p>
    <w:p w:rsidR="00134AE6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кредитный лимит по кредитной карте – </w:t>
      </w:r>
      <w:r w:rsidR="00134AE6">
        <w:rPr>
          <w:sz w:val="28"/>
          <w:szCs w:val="28"/>
        </w:rPr>
        <w:t>11 чел. (14,3 % опрошенных респондентов, в 2020 году - 10 % опрошенных респондентов);</w:t>
      </w:r>
    </w:p>
    <w:p w:rsidR="00D91627" w:rsidRDefault="00D91627" w:rsidP="00D916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 xml:space="preserve">ной заем в </w:t>
      </w:r>
      <w:proofErr w:type="spellStart"/>
      <w:r w:rsidRPr="00D91627">
        <w:rPr>
          <w:sz w:val="28"/>
          <w:szCs w:val="28"/>
        </w:rPr>
        <w:t>микрофинансовой</w:t>
      </w:r>
      <w:proofErr w:type="spellEnd"/>
      <w:r w:rsidRPr="00D91627">
        <w:rPr>
          <w:sz w:val="28"/>
          <w:szCs w:val="28"/>
        </w:rPr>
        <w:t xml:space="preserve"> организации, не являющийся онлайн-займом</w:t>
      </w:r>
      <w:r>
        <w:rPr>
          <w:sz w:val="28"/>
          <w:szCs w:val="28"/>
        </w:rPr>
        <w:t xml:space="preserve"> - 5 чел. (6,5 % опрошенных респондентов, в 2020 году – позиция отмечена не была);</w:t>
      </w:r>
    </w:p>
    <w:p w:rsidR="00D91627" w:rsidRDefault="00D91627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>ной заем в кредитном потребительском кооперативе, не являющийся онлайн-займом</w:t>
      </w:r>
      <w:r>
        <w:rPr>
          <w:sz w:val="28"/>
          <w:szCs w:val="28"/>
        </w:rPr>
        <w:t xml:space="preserve"> - 6 чел. (7,8 % опрошенных респондентов, в 2020 году – позиция отмечена не была);</w:t>
      </w:r>
    </w:p>
    <w:p w:rsidR="00D91627" w:rsidRDefault="00D91627" w:rsidP="00D916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>ной заем в кредитном потребительском кооперативе, не являющийся онлайн-займом</w:t>
      </w:r>
      <w:r>
        <w:rPr>
          <w:sz w:val="28"/>
          <w:szCs w:val="28"/>
        </w:rPr>
        <w:t xml:space="preserve"> – 1 чел. (1,3 % опрошенных респондентов, в 2020 году – позиция отмечена не была).</w:t>
      </w:r>
    </w:p>
    <w:p w:rsidR="00D91627" w:rsidRDefault="00D91627" w:rsidP="00D916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видим, в течение последнего года увеличилась потребность населения в заемных средствах, для удовлетворения которой они стали прибегать к использованию кредитных ресурсов без использования онлайн-сервисов (за исключением онлайн-кредитов банков, - прирост 5,4 процентных пункта).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используют сейчас, но использовали за последние 12 месяцев: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 в банке, не являющийся онлайн-кредитом – </w:t>
      </w:r>
      <w:r w:rsidR="00D91627">
        <w:rPr>
          <w:sz w:val="28"/>
          <w:szCs w:val="28"/>
        </w:rPr>
        <w:t>7 чел. (</w:t>
      </w:r>
      <w:r w:rsidR="0090443B">
        <w:rPr>
          <w:sz w:val="28"/>
          <w:szCs w:val="28"/>
        </w:rPr>
        <w:t xml:space="preserve">9,1 % опрошенных респондентов, в 2020 году - </w:t>
      </w:r>
      <w:r>
        <w:rPr>
          <w:sz w:val="28"/>
          <w:szCs w:val="28"/>
        </w:rPr>
        <w:t>10 % опрошенных респондентов);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онлайн-кредит в банке – </w:t>
      </w:r>
      <w:r w:rsidR="00EB653F">
        <w:rPr>
          <w:sz w:val="28"/>
          <w:szCs w:val="28"/>
        </w:rPr>
        <w:t>5</w:t>
      </w:r>
      <w:r w:rsidR="0090443B">
        <w:rPr>
          <w:sz w:val="28"/>
          <w:szCs w:val="28"/>
        </w:rPr>
        <w:t xml:space="preserve"> чел. (</w:t>
      </w:r>
      <w:r w:rsidR="00EB653F">
        <w:rPr>
          <w:sz w:val="28"/>
          <w:szCs w:val="28"/>
        </w:rPr>
        <w:t>6,5</w:t>
      </w:r>
      <w:r w:rsidR="0090443B">
        <w:rPr>
          <w:sz w:val="28"/>
          <w:szCs w:val="28"/>
        </w:rPr>
        <w:t xml:space="preserve"> % опрошенных респондентов, в 2020 году - </w:t>
      </w:r>
      <w:r>
        <w:rPr>
          <w:sz w:val="28"/>
          <w:szCs w:val="28"/>
        </w:rPr>
        <w:t>15 % опрошенных респондентов);</w:t>
      </w:r>
    </w:p>
    <w:p w:rsidR="0090443B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кредитный лимит по кредитной карте – </w:t>
      </w:r>
      <w:r w:rsidR="0090443B">
        <w:rPr>
          <w:sz w:val="28"/>
          <w:szCs w:val="28"/>
        </w:rPr>
        <w:t>7 чел. (9,1 % опрошенных респондентов, в 2020 году - 10 % опрошенных респондентов);</w:t>
      </w:r>
    </w:p>
    <w:p w:rsidR="0090443B" w:rsidRDefault="0090443B" w:rsidP="00904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 xml:space="preserve">ной заем в </w:t>
      </w:r>
      <w:proofErr w:type="spellStart"/>
      <w:r w:rsidRPr="00D91627">
        <w:rPr>
          <w:sz w:val="28"/>
          <w:szCs w:val="28"/>
        </w:rPr>
        <w:t>микрофинансовой</w:t>
      </w:r>
      <w:proofErr w:type="spellEnd"/>
      <w:r w:rsidRPr="00D91627">
        <w:rPr>
          <w:sz w:val="28"/>
          <w:szCs w:val="28"/>
        </w:rPr>
        <w:t xml:space="preserve"> организации, не являющийся онлайн-займом</w:t>
      </w:r>
      <w:r>
        <w:rPr>
          <w:sz w:val="28"/>
          <w:szCs w:val="28"/>
        </w:rPr>
        <w:t xml:space="preserve"> - 2 чел. (2,3 % опрошенных респондентов, в 2020 году – 10 % опрошенных респондентов);</w:t>
      </w:r>
    </w:p>
    <w:p w:rsidR="00EB653F" w:rsidRDefault="00EB653F" w:rsidP="00904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онлайн</w:t>
      </w:r>
      <w:r w:rsidRPr="00D91627">
        <w:rPr>
          <w:sz w:val="28"/>
          <w:szCs w:val="28"/>
        </w:rPr>
        <w:t xml:space="preserve"> заем в кредитном потребительском кооперативе, не являющийся онлайн-займом</w:t>
      </w:r>
      <w:r>
        <w:rPr>
          <w:sz w:val="28"/>
          <w:szCs w:val="28"/>
        </w:rPr>
        <w:t xml:space="preserve"> - 1 чел. (1,3 % опрошенных респондентов, в 2020 году – позиция отмечена не была);</w:t>
      </w:r>
    </w:p>
    <w:p w:rsidR="0090443B" w:rsidRDefault="0090443B" w:rsidP="009044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>ной заем в кредитном потребительском кооперативе, не являющийся онлайн-займом</w:t>
      </w:r>
      <w:r>
        <w:rPr>
          <w:sz w:val="28"/>
          <w:szCs w:val="28"/>
        </w:rPr>
        <w:t xml:space="preserve"> - 3 чел. (3,9 % опрошенных респондентов, в 2020 году – позиция отмечена не была).</w:t>
      </w:r>
    </w:p>
    <w:p w:rsidR="0090443B" w:rsidRDefault="0090443B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видимый рост потребности населения в кредитных ресурсах, большая часть граждан, принявших участие в опросе (от 58 до 77 % в зависимости от вида займа), старается не прибегать к использованию заемных средств.</w:t>
      </w:r>
    </w:p>
    <w:p w:rsidR="00A73B35" w:rsidRDefault="0090443B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="00A73B35">
        <w:rPr>
          <w:sz w:val="28"/>
          <w:szCs w:val="28"/>
        </w:rPr>
        <w:t>е используют сейчас и не использовали за последние 12 месяцев: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 в банке, не являющийся онлайн-кредитом – </w:t>
      </w:r>
      <w:r w:rsidR="0090443B">
        <w:rPr>
          <w:sz w:val="28"/>
          <w:szCs w:val="28"/>
        </w:rPr>
        <w:t xml:space="preserve">58 чел. (75,3 % опрошенных респондентов, в 2020 году - </w:t>
      </w:r>
      <w:r>
        <w:rPr>
          <w:sz w:val="28"/>
          <w:szCs w:val="28"/>
        </w:rPr>
        <w:t>70 % опрошенных респондентов);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онлайн-кредит в банке – </w:t>
      </w:r>
      <w:r w:rsidR="002F78E0">
        <w:rPr>
          <w:sz w:val="28"/>
          <w:szCs w:val="28"/>
        </w:rPr>
        <w:t>6</w:t>
      </w:r>
      <w:r w:rsidR="00EB653F">
        <w:rPr>
          <w:sz w:val="28"/>
          <w:szCs w:val="28"/>
        </w:rPr>
        <w:t>4</w:t>
      </w:r>
      <w:r w:rsidR="002F78E0">
        <w:rPr>
          <w:sz w:val="28"/>
          <w:szCs w:val="28"/>
        </w:rPr>
        <w:t xml:space="preserve"> чел. (8</w:t>
      </w:r>
      <w:r w:rsidR="00EB653F">
        <w:rPr>
          <w:sz w:val="28"/>
          <w:szCs w:val="28"/>
        </w:rPr>
        <w:t>3,1</w:t>
      </w:r>
      <w:r w:rsidR="002F78E0">
        <w:rPr>
          <w:sz w:val="28"/>
          <w:szCs w:val="28"/>
        </w:rPr>
        <w:t xml:space="preserve"> % опрошенных респондентов, в 2020 году -</w:t>
      </w:r>
      <w:r>
        <w:rPr>
          <w:sz w:val="28"/>
          <w:szCs w:val="28"/>
        </w:rPr>
        <w:t>80 % опрошенных респондентов);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кредитный лимит по кредитной карте – </w:t>
      </w:r>
      <w:r w:rsidR="002F78E0">
        <w:rPr>
          <w:sz w:val="28"/>
          <w:szCs w:val="28"/>
        </w:rPr>
        <w:t xml:space="preserve">59 чел. (76,6 % опрошенных респондентов, в 2020 году - </w:t>
      </w:r>
      <w:r>
        <w:rPr>
          <w:sz w:val="28"/>
          <w:szCs w:val="28"/>
        </w:rPr>
        <w:t>80 % опрошенных респондентов).</w:t>
      </w:r>
    </w:p>
    <w:p w:rsidR="002F78E0" w:rsidRDefault="002F78E0" w:rsidP="002F78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 xml:space="preserve">ной заем в </w:t>
      </w:r>
      <w:proofErr w:type="spellStart"/>
      <w:r w:rsidRPr="00D91627">
        <w:rPr>
          <w:sz w:val="28"/>
          <w:szCs w:val="28"/>
        </w:rPr>
        <w:t>микрофинансовой</w:t>
      </w:r>
      <w:proofErr w:type="spellEnd"/>
      <w:r w:rsidRPr="00D91627">
        <w:rPr>
          <w:sz w:val="28"/>
          <w:szCs w:val="28"/>
        </w:rPr>
        <w:t xml:space="preserve"> организации, не являющийся онлайн-займом</w:t>
      </w:r>
      <w:r>
        <w:rPr>
          <w:sz w:val="28"/>
          <w:szCs w:val="28"/>
        </w:rPr>
        <w:t xml:space="preserve"> - 70 чел. (90,1 % опрошенных респондентов, в 2020 году – 90,0 % опрошенных респондентов);</w:t>
      </w:r>
    </w:p>
    <w:p w:rsidR="00EB653F" w:rsidRDefault="00EB653F" w:rsidP="00EB65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онлайн</w:t>
      </w:r>
      <w:r w:rsidRPr="00D91627">
        <w:rPr>
          <w:sz w:val="28"/>
          <w:szCs w:val="28"/>
        </w:rPr>
        <w:t xml:space="preserve"> заем в кредитном потребительском кооперативе, не являющийся онлайн-займом</w:t>
      </w:r>
      <w:r>
        <w:rPr>
          <w:sz w:val="28"/>
          <w:szCs w:val="28"/>
        </w:rPr>
        <w:t xml:space="preserve"> - 76 чел. (98,7 % опрошенных респондентов, в 2020 году – 100 % опрошенных респондентов);</w:t>
      </w:r>
    </w:p>
    <w:p w:rsidR="002F78E0" w:rsidRDefault="002F78E0" w:rsidP="002F78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>ной заем в кредитном потребительском кооперативе, не являющийся онлайн-займом</w:t>
      </w:r>
      <w:r>
        <w:rPr>
          <w:sz w:val="28"/>
          <w:szCs w:val="28"/>
        </w:rPr>
        <w:t xml:space="preserve"> - 68 чел. (88,3 % опрошенных респондентов, в 2020 году – 95,0 % опрошенных респондентов);</w:t>
      </w:r>
    </w:p>
    <w:p w:rsidR="002F78E0" w:rsidRDefault="002F78E0" w:rsidP="002F78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1627">
        <w:rPr>
          <w:sz w:val="28"/>
          <w:szCs w:val="28"/>
        </w:rPr>
        <w:t xml:space="preserve">ной заем в </w:t>
      </w:r>
      <w:r w:rsidR="001E4B2A">
        <w:rPr>
          <w:sz w:val="28"/>
          <w:szCs w:val="28"/>
        </w:rPr>
        <w:t xml:space="preserve">сельскохозяйственном </w:t>
      </w:r>
      <w:r w:rsidRPr="00D91627">
        <w:rPr>
          <w:sz w:val="28"/>
          <w:szCs w:val="28"/>
        </w:rPr>
        <w:t>кредитном потребительском кооперативе, не являющийся онлайн-займом</w:t>
      </w:r>
      <w:r>
        <w:rPr>
          <w:sz w:val="28"/>
          <w:szCs w:val="28"/>
        </w:rPr>
        <w:t xml:space="preserve"> – 76 чел. (98,7 % опрошенных респондентов, в 2020 году – 100,0 % опрошенных респондентов).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один из опрошенных респондентов </w:t>
      </w:r>
      <w:r w:rsidR="002F78E0">
        <w:rPr>
          <w:sz w:val="28"/>
          <w:szCs w:val="28"/>
        </w:rPr>
        <w:t>н</w:t>
      </w:r>
      <w:r>
        <w:rPr>
          <w:sz w:val="28"/>
          <w:szCs w:val="28"/>
        </w:rPr>
        <w:t>и в течение последних 12 месяцев</w:t>
      </w:r>
      <w:r w:rsidR="002F78E0">
        <w:rPr>
          <w:sz w:val="28"/>
          <w:szCs w:val="28"/>
        </w:rPr>
        <w:t>, ни в течение 2020 года,</w:t>
      </w:r>
      <w:r>
        <w:rPr>
          <w:sz w:val="28"/>
          <w:szCs w:val="28"/>
        </w:rPr>
        <w:t xml:space="preserve"> не пользовался кредитными ресурсами, взятыми онлайн в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организациях, сельскохозяйственных кредитных потребительских кооперативах, в ломбардах (</w:t>
      </w:r>
      <w:r w:rsidR="00D3387D">
        <w:rPr>
          <w:sz w:val="28"/>
          <w:szCs w:val="28"/>
        </w:rPr>
        <w:t>Таб</w:t>
      </w:r>
      <w:r>
        <w:rPr>
          <w:sz w:val="28"/>
          <w:szCs w:val="28"/>
        </w:rPr>
        <w:t xml:space="preserve">. </w:t>
      </w:r>
      <w:r w:rsidR="00523C46">
        <w:rPr>
          <w:sz w:val="28"/>
          <w:szCs w:val="28"/>
        </w:rPr>
        <w:t>3.</w:t>
      </w:r>
      <w:r w:rsidR="00D3387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D3387D" w:rsidRDefault="00715500" w:rsidP="00715500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23C46">
        <w:rPr>
          <w:sz w:val="28"/>
          <w:szCs w:val="28"/>
        </w:rPr>
        <w:t>3.</w:t>
      </w:r>
      <w:r>
        <w:rPr>
          <w:sz w:val="28"/>
          <w:szCs w:val="28"/>
        </w:rPr>
        <w:t>2</w:t>
      </w:r>
    </w:p>
    <w:p w:rsidR="001E4B2A" w:rsidRPr="001E4B2A" w:rsidRDefault="001E4B2A" w:rsidP="001E4B2A">
      <w:pPr>
        <w:ind w:firstLine="567"/>
        <w:contextualSpacing/>
        <w:jc w:val="center"/>
        <w:rPr>
          <w:sz w:val="28"/>
          <w:szCs w:val="28"/>
        </w:rPr>
      </w:pPr>
      <w:r w:rsidRPr="001E4B2A">
        <w:rPr>
          <w:sz w:val="28"/>
          <w:szCs w:val="28"/>
        </w:rPr>
        <w:t>Востребованность кредитных организаций с целью получения</w:t>
      </w:r>
    </w:p>
    <w:p w:rsidR="001E4B2A" w:rsidRPr="001E4B2A" w:rsidRDefault="001E4B2A" w:rsidP="001E4B2A">
      <w:pPr>
        <w:ind w:firstLine="567"/>
        <w:contextualSpacing/>
        <w:jc w:val="center"/>
        <w:rPr>
          <w:sz w:val="28"/>
          <w:szCs w:val="28"/>
        </w:rPr>
      </w:pPr>
      <w:r w:rsidRPr="001E4B2A">
        <w:rPr>
          <w:sz w:val="28"/>
          <w:szCs w:val="28"/>
        </w:rPr>
        <w:t>кредитных ресурсов среди населения</w:t>
      </w:r>
    </w:p>
    <w:tbl>
      <w:tblPr>
        <w:tblStyle w:val="a5"/>
        <w:tblW w:w="9643" w:type="dxa"/>
        <w:tblLook w:val="04A0" w:firstRow="1" w:lastRow="0" w:firstColumn="1" w:lastColumn="0" w:noHBand="0" w:noVBand="1"/>
      </w:tblPr>
      <w:tblGrid>
        <w:gridCol w:w="2267"/>
        <w:gridCol w:w="1315"/>
        <w:gridCol w:w="1122"/>
        <w:gridCol w:w="1453"/>
        <w:gridCol w:w="1122"/>
        <w:gridCol w:w="1453"/>
        <w:gridCol w:w="1122"/>
      </w:tblGrid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Варианты ответов</w:t>
            </w:r>
          </w:p>
        </w:tc>
        <w:tc>
          <w:tcPr>
            <w:tcW w:w="1415" w:type="dxa"/>
          </w:tcPr>
          <w:p w:rsidR="00715500" w:rsidRPr="00715500" w:rsidRDefault="00715500" w:rsidP="00715500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Имеется сейчас, % опрошенных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Динамика 2021/2020, % (+,-)</w:t>
            </w:r>
          </w:p>
        </w:tc>
        <w:tc>
          <w:tcPr>
            <w:tcW w:w="1566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Не имеется сейчас, но использовался за последние 12 месяцев</w:t>
            </w:r>
            <w:r>
              <w:rPr>
                <w:sz w:val="20"/>
                <w:szCs w:val="20"/>
              </w:rPr>
              <w:t xml:space="preserve">, </w:t>
            </w:r>
            <w:r w:rsidRPr="00715500">
              <w:rPr>
                <w:sz w:val="20"/>
                <w:szCs w:val="20"/>
              </w:rPr>
              <w:t>% опрошенных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Динамика 2021/2020, % (+,-)</w:t>
            </w:r>
          </w:p>
        </w:tc>
        <w:tc>
          <w:tcPr>
            <w:tcW w:w="1566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Не использовался за последние 12 месяцев</w:t>
            </w:r>
            <w:r>
              <w:rPr>
                <w:sz w:val="20"/>
                <w:szCs w:val="20"/>
              </w:rPr>
              <w:t xml:space="preserve">, </w:t>
            </w:r>
            <w:r w:rsidRPr="00715500">
              <w:rPr>
                <w:sz w:val="20"/>
                <w:szCs w:val="20"/>
              </w:rPr>
              <w:t>% опрошенных</w:t>
            </w:r>
          </w:p>
        </w:tc>
        <w:tc>
          <w:tcPr>
            <w:tcW w:w="236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Динамика 2021/2020, % (+,-)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Онлайн-кредит в банке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</w:t>
            </w:r>
          </w:p>
        </w:tc>
        <w:tc>
          <w:tcPr>
            <w:tcW w:w="1415" w:type="dxa"/>
          </w:tcPr>
          <w:p w:rsidR="00715500" w:rsidRPr="00715500" w:rsidRDefault="00715500" w:rsidP="0071550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204" w:type="dxa"/>
          </w:tcPr>
          <w:p w:rsidR="00715500" w:rsidRPr="00715500" w:rsidRDefault="00715500" w:rsidP="0071550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+5,4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--8,5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221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Иной кредит в банке, не являющийся онлайн-кредитом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-4,4</w:t>
            </w:r>
          </w:p>
        </w:tc>
        <w:tc>
          <w:tcPr>
            <w:tcW w:w="1566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221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+5,3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Использование кредитного лимита по кредитной карте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+4,3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221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 xml:space="preserve">Онлайн-заем в </w:t>
            </w:r>
            <w:proofErr w:type="spellStart"/>
            <w:r w:rsidRPr="00715500">
              <w:rPr>
                <w:sz w:val="20"/>
                <w:szCs w:val="20"/>
              </w:rPr>
              <w:t>микрофинансовой</w:t>
            </w:r>
            <w:proofErr w:type="spellEnd"/>
            <w:r w:rsidRPr="00715500">
              <w:rPr>
                <w:sz w:val="20"/>
                <w:szCs w:val="20"/>
              </w:rPr>
              <w:t xml:space="preserve"> организации (договор заключен с использованием информационно-телекоммуникационной сети «Интернет», сумма </w:t>
            </w:r>
            <w:r w:rsidRPr="00715500">
              <w:rPr>
                <w:sz w:val="20"/>
                <w:szCs w:val="20"/>
              </w:rPr>
              <w:lastRenderedPageBreak/>
              <w:t>кредита предоставлена получателю услуги в безналичной форме)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1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lastRenderedPageBreak/>
              <w:t xml:space="preserve">Иной заем в </w:t>
            </w:r>
            <w:proofErr w:type="spellStart"/>
            <w:r w:rsidRPr="00715500">
              <w:rPr>
                <w:sz w:val="20"/>
                <w:szCs w:val="20"/>
              </w:rPr>
              <w:t>микрофинансовой</w:t>
            </w:r>
            <w:proofErr w:type="spellEnd"/>
            <w:r w:rsidRPr="00715500">
              <w:rPr>
                <w:sz w:val="20"/>
                <w:szCs w:val="20"/>
              </w:rPr>
              <w:t xml:space="preserve"> организации, не являющийся онлайн-займом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+6,5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221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Онлайн-заем в кредитном потребительском кооперативе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  <w:tc>
          <w:tcPr>
            <w:tcW w:w="1566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21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+7,8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</w:t>
            </w:r>
          </w:p>
        </w:tc>
        <w:tc>
          <w:tcPr>
            <w:tcW w:w="1566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221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1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21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715500" w:rsidRPr="00715500" w:rsidTr="00715500">
        <w:tc>
          <w:tcPr>
            <w:tcW w:w="2452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 w:rsidRPr="00715500">
              <w:rPr>
                <w:sz w:val="20"/>
                <w:szCs w:val="20"/>
              </w:rPr>
              <w:t>Заем в ломбарде</w:t>
            </w:r>
          </w:p>
        </w:tc>
        <w:tc>
          <w:tcPr>
            <w:tcW w:w="1415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</w:tcPr>
          <w:p w:rsidR="00715500" w:rsidRPr="00715500" w:rsidRDefault="00715500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</w:tcPr>
          <w:p w:rsidR="00715500" w:rsidRPr="00715500" w:rsidRDefault="00EB653F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1" w:type="dxa"/>
          </w:tcPr>
          <w:p w:rsidR="00715500" w:rsidRPr="00715500" w:rsidRDefault="001E4B2A" w:rsidP="00A73B3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3387D" w:rsidRDefault="00D3387D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причин, по которым респонденты не используют кредитные финансовые продукты, были названы:</w:t>
      </w:r>
    </w:p>
    <w:p w:rsidR="001E4B2A" w:rsidRDefault="001E4B2A" w:rsidP="001E4B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дальность отделений финансовых организаций - 3 чел.</w:t>
      </w:r>
      <w:r w:rsidRPr="00EB08B5">
        <w:rPr>
          <w:sz w:val="28"/>
          <w:szCs w:val="28"/>
        </w:rPr>
        <w:t xml:space="preserve"> </w:t>
      </w:r>
      <w:r>
        <w:rPr>
          <w:sz w:val="28"/>
          <w:szCs w:val="28"/>
        </w:rPr>
        <w:t>(3,9 % опрошенных респондентов, в 2020 году – позиция отмечена не была);</w:t>
      </w:r>
    </w:p>
    <w:p w:rsidR="001E4B2A" w:rsidRDefault="001E4B2A" w:rsidP="001E4B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слишком высокая процентная ставка по кредиту – 18 чел. (23,4 % опрошенных респондентов, в 2020году -15 % опрошенных респондентов);</w:t>
      </w:r>
    </w:p>
    <w:p w:rsidR="001E4B2A" w:rsidRDefault="001E4B2A" w:rsidP="001E4B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недоверие финансовым организациям – 8 чел. (10,4 % опрошенных респондентов, в 2020 году - 5 % опрошенных респондентов);</w:t>
      </w:r>
    </w:p>
    <w:p w:rsidR="002B0774" w:rsidRDefault="002B0774" w:rsidP="002B07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необходимых документов </w:t>
      </w:r>
      <w:r w:rsidRPr="002B0774">
        <w:rPr>
          <w:sz w:val="28"/>
          <w:szCs w:val="28"/>
        </w:rPr>
        <w:t>(паспорт</w:t>
      </w:r>
      <w:r>
        <w:rPr>
          <w:sz w:val="28"/>
          <w:szCs w:val="28"/>
        </w:rPr>
        <w:t>а</w:t>
      </w:r>
      <w:r w:rsidRPr="002B0774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</w:t>
      </w:r>
      <w:r w:rsidRPr="002B077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2B0774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2B0774">
        <w:rPr>
          <w:sz w:val="28"/>
          <w:szCs w:val="28"/>
        </w:rPr>
        <w:t xml:space="preserve"> личность, документ</w:t>
      </w:r>
      <w:r>
        <w:rPr>
          <w:sz w:val="28"/>
          <w:szCs w:val="28"/>
        </w:rPr>
        <w:t>а</w:t>
      </w:r>
      <w:r w:rsidRPr="002B0774">
        <w:rPr>
          <w:sz w:val="28"/>
          <w:szCs w:val="28"/>
        </w:rPr>
        <w:t xml:space="preserve"> о выплате заработной платы, справк</w:t>
      </w:r>
      <w:r>
        <w:rPr>
          <w:sz w:val="28"/>
          <w:szCs w:val="28"/>
        </w:rPr>
        <w:t>и</w:t>
      </w:r>
      <w:r w:rsidRPr="002B0774">
        <w:rPr>
          <w:sz w:val="28"/>
          <w:szCs w:val="28"/>
        </w:rPr>
        <w:t xml:space="preserve"> с места работы и </w:t>
      </w:r>
      <w:proofErr w:type="spellStart"/>
      <w:r w:rsidRPr="002B0774">
        <w:rPr>
          <w:sz w:val="28"/>
          <w:szCs w:val="28"/>
        </w:rPr>
        <w:t>тд</w:t>
      </w:r>
      <w:proofErr w:type="spellEnd"/>
      <w:r w:rsidRPr="002B0774">
        <w:rPr>
          <w:sz w:val="28"/>
          <w:szCs w:val="28"/>
        </w:rPr>
        <w:t>.)</w:t>
      </w:r>
      <w:r>
        <w:rPr>
          <w:sz w:val="28"/>
          <w:szCs w:val="28"/>
        </w:rPr>
        <w:t>, необходимых для получения кредита, - 4 чел.</w:t>
      </w:r>
      <w:r w:rsidRPr="00EB08B5">
        <w:rPr>
          <w:sz w:val="28"/>
          <w:szCs w:val="28"/>
        </w:rPr>
        <w:t xml:space="preserve"> </w:t>
      </w:r>
      <w:r>
        <w:rPr>
          <w:sz w:val="28"/>
          <w:szCs w:val="28"/>
        </w:rPr>
        <w:t>(5,2 % опрошенных респондентов, в 2020 году – позиция отмечена не была);</w:t>
      </w:r>
    </w:p>
    <w:p w:rsidR="002B0774" w:rsidRDefault="002B0774" w:rsidP="002B07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нежелание жить в долг – 27 чел.</w:t>
      </w:r>
      <w:r w:rsidRPr="00EB08B5">
        <w:rPr>
          <w:sz w:val="28"/>
          <w:szCs w:val="28"/>
        </w:rPr>
        <w:t xml:space="preserve"> </w:t>
      </w:r>
      <w:r>
        <w:rPr>
          <w:sz w:val="28"/>
          <w:szCs w:val="28"/>
        </w:rPr>
        <w:t>(35,1 % опрошенных респондентов, в 2020 году - 55 % опрошенных респондентов);</w:t>
      </w:r>
    </w:p>
    <w:p w:rsidR="002B0774" w:rsidRDefault="002B0774" w:rsidP="002B07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других способов получения займа – 9 чел. (11,7 % опрошенных респондентов, в 2020 году - 10 % опрошенных респондентов);</w:t>
      </w:r>
    </w:p>
    <w:p w:rsidR="002B0774" w:rsidRDefault="002B0774" w:rsidP="002B07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кредита (займа), оформленного на другого члена семьи – 5 чел. (6,5 % опрошенных респондентов, в 2020 году - 25 % опрошенных респондентов);</w:t>
      </w:r>
    </w:p>
    <w:p w:rsidR="002B0774" w:rsidRDefault="002B0774" w:rsidP="001E4B2A">
      <w:pPr>
        <w:ind w:firstLine="567"/>
        <w:contextualSpacing/>
        <w:jc w:val="both"/>
        <w:rPr>
          <w:sz w:val="28"/>
          <w:szCs w:val="28"/>
        </w:rPr>
      </w:pPr>
    </w:p>
    <w:p w:rsidR="001E4B2A" w:rsidRDefault="001E4B2A" w:rsidP="001E4B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необходимости в заемных средствах –  </w:t>
      </w:r>
      <w:r w:rsidR="002B0774">
        <w:rPr>
          <w:sz w:val="28"/>
          <w:szCs w:val="28"/>
        </w:rPr>
        <w:t xml:space="preserve">21 </w:t>
      </w:r>
      <w:r>
        <w:rPr>
          <w:sz w:val="28"/>
          <w:szCs w:val="28"/>
        </w:rPr>
        <w:t>чел. (</w:t>
      </w:r>
      <w:r w:rsidR="002B0774">
        <w:rPr>
          <w:sz w:val="28"/>
          <w:szCs w:val="28"/>
        </w:rPr>
        <w:t>27,3 % опрошенных респондентов, в 2020 году -</w:t>
      </w:r>
      <w:r>
        <w:rPr>
          <w:sz w:val="28"/>
          <w:szCs w:val="28"/>
        </w:rPr>
        <w:t>10 % опрошенных респондентов);</w:t>
      </w:r>
    </w:p>
    <w:p w:rsidR="002B0774" w:rsidRDefault="002B0774" w:rsidP="002B07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обладание навыками </w:t>
      </w:r>
      <w:r w:rsidRPr="002B0774">
        <w:rPr>
          <w:sz w:val="28"/>
          <w:szCs w:val="28"/>
        </w:rPr>
        <w:t>использования онлайн-сервисов финансовых организаций для получения кредита (займа)</w:t>
      </w:r>
      <w:r>
        <w:rPr>
          <w:sz w:val="28"/>
          <w:szCs w:val="28"/>
        </w:rPr>
        <w:t xml:space="preserve"> - 2 чел.</w:t>
      </w:r>
      <w:r w:rsidRPr="00EB08B5">
        <w:rPr>
          <w:sz w:val="28"/>
          <w:szCs w:val="28"/>
        </w:rPr>
        <w:t xml:space="preserve"> </w:t>
      </w:r>
      <w:r>
        <w:rPr>
          <w:sz w:val="28"/>
          <w:szCs w:val="28"/>
        </w:rPr>
        <w:t>(2,6 % опрошенных респондентов, в 2020 году – позиция отмечена не была);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неуверенность в технической безопасности онлайн-сервисов финансовых организаций – </w:t>
      </w:r>
      <w:r w:rsidR="002B0774">
        <w:rPr>
          <w:sz w:val="28"/>
          <w:szCs w:val="28"/>
        </w:rPr>
        <w:t>2</w:t>
      </w:r>
      <w:r>
        <w:rPr>
          <w:sz w:val="28"/>
          <w:szCs w:val="28"/>
        </w:rPr>
        <w:t xml:space="preserve"> чел. (</w:t>
      </w:r>
      <w:r w:rsidR="002B0774">
        <w:rPr>
          <w:sz w:val="28"/>
          <w:szCs w:val="28"/>
        </w:rPr>
        <w:t xml:space="preserve">2,6 % опрошенных респондентов, в 2020 году - 5 % опрошенных респондентов) (Рис. </w:t>
      </w:r>
      <w:r w:rsidR="00523C46">
        <w:rPr>
          <w:sz w:val="28"/>
          <w:szCs w:val="28"/>
        </w:rPr>
        <w:t>3.</w:t>
      </w:r>
      <w:r w:rsidR="002B0774">
        <w:rPr>
          <w:sz w:val="28"/>
          <w:szCs w:val="28"/>
        </w:rPr>
        <w:t>8).</w:t>
      </w:r>
    </w:p>
    <w:p w:rsidR="002B0774" w:rsidRDefault="002B0774" w:rsidP="002B07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F99C55" wp14:editId="27EF6B08">
            <wp:extent cx="6049645" cy="4816549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0774" w:rsidRDefault="002B0774" w:rsidP="00A73B35">
      <w:pPr>
        <w:ind w:firstLine="567"/>
        <w:contextualSpacing/>
        <w:jc w:val="both"/>
        <w:rPr>
          <w:sz w:val="28"/>
          <w:szCs w:val="28"/>
        </w:rPr>
      </w:pPr>
    </w:p>
    <w:p w:rsidR="00015F85" w:rsidRDefault="00015F85" w:rsidP="00015F85">
      <w:pPr>
        <w:ind w:firstLine="567"/>
        <w:contextualSpacing/>
        <w:jc w:val="center"/>
      </w:pPr>
      <w:r>
        <w:t>Рис.</w:t>
      </w:r>
      <w:r w:rsidR="00523C46">
        <w:t xml:space="preserve"> 3.</w:t>
      </w:r>
      <w:r>
        <w:t xml:space="preserve">8. Основные причины неиспользования кредитных финансовых продуктов, </w:t>
      </w:r>
    </w:p>
    <w:p w:rsidR="00A73B35" w:rsidRDefault="00015F85" w:rsidP="00015F85">
      <w:pPr>
        <w:ind w:firstLine="567"/>
        <w:contextualSpacing/>
        <w:jc w:val="center"/>
      </w:pPr>
      <w:r>
        <w:t>% опрошенных</w:t>
      </w:r>
    </w:p>
    <w:p w:rsidR="00015F85" w:rsidRPr="00015F85" w:rsidRDefault="00015F85" w:rsidP="00015F85">
      <w:pPr>
        <w:ind w:firstLine="567"/>
        <w:contextualSpacing/>
        <w:jc w:val="center"/>
      </w:pPr>
    </w:p>
    <w:p w:rsidR="008A0557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хранения денежных средств и расчетов при приобретении товаров, работ и услуг </w:t>
      </w:r>
      <w:r w:rsidR="008A0557">
        <w:rPr>
          <w:sz w:val="28"/>
          <w:szCs w:val="28"/>
        </w:rPr>
        <w:t>основная часть граждан, участвовавших в опросе, используют банковские карты. По итогам опроса 2021 года социальный статус респондентов перераспределился в сторону уменьшения лиц, работающих по найму (с 70 % в 2020 году до 31,2 % в 2021 году), и увеличения лиц, находящихся на пенсионном обеспечении (</w:t>
      </w:r>
      <w:r w:rsidR="00062BDA">
        <w:rPr>
          <w:sz w:val="28"/>
          <w:szCs w:val="28"/>
        </w:rPr>
        <w:t>10% в 2020 году до 16,8% в 2021 году)</w:t>
      </w:r>
      <w:r w:rsidR="008A0557">
        <w:rPr>
          <w:sz w:val="28"/>
          <w:szCs w:val="28"/>
        </w:rPr>
        <w:t>, получающих стипендии</w:t>
      </w:r>
      <w:r w:rsidR="00062BDA">
        <w:rPr>
          <w:sz w:val="28"/>
          <w:szCs w:val="28"/>
        </w:rPr>
        <w:t xml:space="preserve"> (с 0% в 2020 году до 7,8% в 2021 году)</w:t>
      </w:r>
      <w:r w:rsidR="008A0557">
        <w:rPr>
          <w:sz w:val="28"/>
          <w:szCs w:val="28"/>
        </w:rPr>
        <w:t xml:space="preserve">, а также предпринимателей </w:t>
      </w:r>
      <w:r w:rsidR="00062BDA">
        <w:rPr>
          <w:sz w:val="28"/>
          <w:szCs w:val="28"/>
        </w:rPr>
        <w:t xml:space="preserve">(с 5% в 2020 году до 22,1% в 2021 году) </w:t>
      </w:r>
      <w:r w:rsidR="008A0557">
        <w:rPr>
          <w:sz w:val="28"/>
          <w:szCs w:val="28"/>
        </w:rPr>
        <w:t xml:space="preserve">и </w:t>
      </w:r>
      <w:proofErr w:type="spellStart"/>
      <w:r w:rsidR="008A0557">
        <w:rPr>
          <w:sz w:val="28"/>
          <w:szCs w:val="28"/>
        </w:rPr>
        <w:t>самозанятых</w:t>
      </w:r>
      <w:proofErr w:type="spellEnd"/>
      <w:r w:rsidR="008A0557">
        <w:rPr>
          <w:sz w:val="28"/>
          <w:szCs w:val="28"/>
        </w:rPr>
        <w:t xml:space="preserve"> граждан</w:t>
      </w:r>
      <w:r w:rsidR="00062BDA">
        <w:rPr>
          <w:sz w:val="28"/>
          <w:szCs w:val="28"/>
        </w:rPr>
        <w:t xml:space="preserve"> (с 0% в 2020 году до 11,7% в 2021 году)</w:t>
      </w:r>
      <w:r w:rsidR="008A0557">
        <w:rPr>
          <w:sz w:val="28"/>
          <w:szCs w:val="28"/>
        </w:rPr>
        <w:t>.</w:t>
      </w:r>
      <w:r w:rsidR="00062BDA">
        <w:rPr>
          <w:sz w:val="28"/>
          <w:szCs w:val="28"/>
        </w:rPr>
        <w:t xml:space="preserve"> </w:t>
      </w:r>
      <w:r w:rsidR="008A0557">
        <w:rPr>
          <w:sz w:val="28"/>
          <w:szCs w:val="28"/>
        </w:rPr>
        <w:t xml:space="preserve">В зависимости от социального статуса респондентов </w:t>
      </w:r>
      <w:r w:rsidR="00062BDA">
        <w:rPr>
          <w:sz w:val="28"/>
          <w:szCs w:val="28"/>
        </w:rPr>
        <w:t xml:space="preserve">изменилась и доля лиц, использующих те или иные виды банковских карт (Рис. </w:t>
      </w:r>
      <w:r w:rsidR="00523C46">
        <w:rPr>
          <w:sz w:val="28"/>
          <w:szCs w:val="28"/>
        </w:rPr>
        <w:t>3.</w:t>
      </w:r>
      <w:r w:rsidR="00062BDA">
        <w:rPr>
          <w:sz w:val="28"/>
          <w:szCs w:val="28"/>
        </w:rPr>
        <w:t>9).</w:t>
      </w:r>
    </w:p>
    <w:p w:rsidR="00062BDA" w:rsidRDefault="00062BDA" w:rsidP="00062BD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FFEF825" wp14:editId="43825E56">
            <wp:extent cx="6049645" cy="291338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26E5" w:rsidRPr="006826E5" w:rsidRDefault="006826E5" w:rsidP="006826E5">
      <w:pPr>
        <w:ind w:firstLine="567"/>
        <w:contextualSpacing/>
        <w:jc w:val="center"/>
      </w:pPr>
      <w:r w:rsidRPr="006826E5">
        <w:t xml:space="preserve">Рис. </w:t>
      </w:r>
      <w:r w:rsidR="00523C46">
        <w:t>3.</w:t>
      </w:r>
      <w:r w:rsidRPr="006826E5">
        <w:t>9. Использование расчетных карт населением с целью хранения денежных средств и расчетов за приобретенный товар, работы, услуги, % опрошенных</w:t>
      </w:r>
    </w:p>
    <w:p w:rsidR="00062BDA" w:rsidRDefault="00062BDA" w:rsidP="00A73B35">
      <w:pPr>
        <w:ind w:firstLine="567"/>
        <w:contextualSpacing/>
        <w:jc w:val="both"/>
        <w:rPr>
          <w:sz w:val="28"/>
          <w:szCs w:val="28"/>
        </w:rPr>
      </w:pPr>
    </w:p>
    <w:p w:rsidR="008A0557" w:rsidRDefault="00566F7E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причин, по которым граждане, принявшие </w:t>
      </w:r>
      <w:r w:rsidR="001A7040">
        <w:rPr>
          <w:sz w:val="28"/>
          <w:szCs w:val="28"/>
        </w:rPr>
        <w:t>участие в опросе, не пользуются банковскими картами, отмечены:</w:t>
      </w:r>
    </w:p>
    <w:p w:rsidR="00D0523E" w:rsidRDefault="00D0523E" w:rsidP="00D0523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дальность нахождения финансовых организаций – 2 чел. (2,6 % опрошенных респондентов, в 2020 году –позиция отмечена не была);</w:t>
      </w:r>
    </w:p>
    <w:p w:rsidR="00D0523E" w:rsidRDefault="00D0523E" w:rsidP="00D0523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дальность нахождения банкоматов – 5 чел. (6,5 % опрошенных респондентов, в 2020 году -10 % опрошенных респондентов);</w:t>
      </w:r>
    </w:p>
    <w:p w:rsidR="00D0523E" w:rsidRDefault="00D0523E" w:rsidP="00D0523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отсутствие </w:t>
      </w:r>
      <w:r w:rsidRPr="00D0523E">
        <w:rPr>
          <w:sz w:val="28"/>
          <w:szCs w:val="28"/>
        </w:rPr>
        <w:t xml:space="preserve"> возможности</w:t>
      </w:r>
      <w:proofErr w:type="gramEnd"/>
      <w:r w:rsidRPr="00D0523E">
        <w:rPr>
          <w:sz w:val="28"/>
          <w:szCs w:val="28"/>
        </w:rPr>
        <w:t xml:space="preserve"> проводить безналичную оплату за товары (услуги) с помощью банковской карты через POS-терминал </w:t>
      </w:r>
      <w:r>
        <w:rPr>
          <w:sz w:val="28"/>
          <w:szCs w:val="28"/>
        </w:rPr>
        <w:t xml:space="preserve">в </w:t>
      </w:r>
      <w:r w:rsidRPr="00D0523E">
        <w:rPr>
          <w:sz w:val="28"/>
          <w:szCs w:val="28"/>
        </w:rPr>
        <w:t>организациях торговли (услуг),</w:t>
      </w:r>
      <w:r>
        <w:rPr>
          <w:sz w:val="28"/>
          <w:szCs w:val="28"/>
        </w:rPr>
        <w:t xml:space="preserve"> которыми я обычно пользуюсь - </w:t>
      </w:r>
      <w:r w:rsidRPr="00D0523E">
        <w:rPr>
          <w:sz w:val="28"/>
          <w:szCs w:val="28"/>
        </w:rPr>
        <w:t xml:space="preserve"> </w:t>
      </w:r>
      <w:r>
        <w:rPr>
          <w:sz w:val="28"/>
          <w:szCs w:val="28"/>
        </w:rPr>
        <w:t>4 чел. (5,2 % опрошенных респондентов, в 2020 году -5 % опрошенных респондентов);</w:t>
      </w:r>
    </w:p>
    <w:p w:rsidR="00D0523E" w:rsidRDefault="00D0523E" w:rsidP="00D0523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обслуживание счета (платежной карты) – 5 чел. (6,5 % опрошенных респондентов, в 2020 году - 5 % опрошенных респондентов);</w:t>
      </w:r>
    </w:p>
    <w:p w:rsidR="00D0523E" w:rsidRDefault="00D0523E" w:rsidP="00D0523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23E">
        <w:rPr>
          <w:sz w:val="28"/>
          <w:szCs w:val="28"/>
        </w:rPr>
        <w:t>недостаточно</w:t>
      </w:r>
      <w:r>
        <w:rPr>
          <w:sz w:val="28"/>
          <w:szCs w:val="28"/>
        </w:rPr>
        <w:t>сть</w:t>
      </w:r>
      <w:r w:rsidRPr="00D0523E">
        <w:rPr>
          <w:sz w:val="28"/>
          <w:szCs w:val="28"/>
        </w:rPr>
        <w:t xml:space="preserve"> денег для хранения их на счете/ платежной карте и использования этих финансовых </w:t>
      </w:r>
      <w:proofErr w:type="gramStart"/>
      <w:r w:rsidRPr="00D0523E">
        <w:rPr>
          <w:sz w:val="28"/>
          <w:szCs w:val="28"/>
        </w:rPr>
        <w:t xml:space="preserve">продуктов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2</w:t>
      </w:r>
      <w:r w:rsidR="00E473D8">
        <w:rPr>
          <w:sz w:val="28"/>
          <w:szCs w:val="28"/>
        </w:rPr>
        <w:t>4</w:t>
      </w:r>
      <w:r>
        <w:rPr>
          <w:sz w:val="28"/>
          <w:szCs w:val="28"/>
        </w:rPr>
        <w:t xml:space="preserve"> чел. (</w:t>
      </w:r>
      <w:r w:rsidR="00E473D8">
        <w:rPr>
          <w:sz w:val="28"/>
          <w:szCs w:val="28"/>
        </w:rPr>
        <w:t>31,2</w:t>
      </w:r>
      <w:r>
        <w:rPr>
          <w:sz w:val="28"/>
          <w:szCs w:val="28"/>
        </w:rPr>
        <w:t xml:space="preserve"> % опрошенных респондентов, в 2020 году -</w:t>
      </w:r>
      <w:r w:rsidR="00E473D8">
        <w:rPr>
          <w:sz w:val="28"/>
          <w:szCs w:val="28"/>
        </w:rPr>
        <w:t xml:space="preserve"> </w:t>
      </w:r>
      <w:r>
        <w:rPr>
          <w:sz w:val="28"/>
          <w:szCs w:val="28"/>
        </w:rPr>
        <w:t>50 % опрошенных респондентов);</w:t>
      </w:r>
    </w:p>
    <w:p w:rsidR="00E473D8" w:rsidRDefault="00D0523E" w:rsidP="00E473D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23E">
        <w:rPr>
          <w:sz w:val="28"/>
          <w:szCs w:val="28"/>
        </w:rPr>
        <w:t>недовер</w:t>
      </w:r>
      <w:r>
        <w:rPr>
          <w:sz w:val="28"/>
          <w:szCs w:val="28"/>
        </w:rPr>
        <w:t>ие</w:t>
      </w:r>
      <w:r w:rsidRPr="00D0523E">
        <w:rPr>
          <w:sz w:val="28"/>
          <w:szCs w:val="28"/>
        </w:rPr>
        <w:t xml:space="preserve"> банкам (кредитным организациям)</w:t>
      </w:r>
      <w:r>
        <w:rPr>
          <w:sz w:val="28"/>
          <w:szCs w:val="28"/>
        </w:rPr>
        <w:t xml:space="preserve"> –</w:t>
      </w:r>
      <w:r w:rsidR="00E473D8">
        <w:rPr>
          <w:sz w:val="28"/>
          <w:szCs w:val="28"/>
        </w:rPr>
        <w:t xml:space="preserve"> 0 чел. (0 % опрошенных респондентов, в 2020 году -5 % опрошенных респондентов);</w:t>
      </w:r>
    </w:p>
    <w:p w:rsidR="00E473D8" w:rsidRDefault="00D0523E" w:rsidP="00E473D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пользование платежными картами другими членами семьи – </w:t>
      </w:r>
      <w:r w:rsidR="00E473D8">
        <w:rPr>
          <w:sz w:val="28"/>
          <w:szCs w:val="28"/>
        </w:rPr>
        <w:t>19 чел. (24,7 % опрошенных респондентов, в 2020 году - 5 % опрошенных респондентов);</w:t>
      </w:r>
    </w:p>
    <w:p w:rsidR="00E473D8" w:rsidRDefault="00D0523E" w:rsidP="00E473D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иное (удобство, привычка расплачиваться наличными деньгами) -</w:t>
      </w:r>
      <w:r w:rsidR="00E473D8">
        <w:rPr>
          <w:sz w:val="28"/>
          <w:szCs w:val="28"/>
        </w:rPr>
        <w:t xml:space="preserve"> 3 чел. (3,9 % опрошенных респондентов, в 2020 году -5 % опрошенных респондентов) (Рис. </w:t>
      </w:r>
      <w:r w:rsidR="00523C46">
        <w:rPr>
          <w:sz w:val="28"/>
          <w:szCs w:val="28"/>
        </w:rPr>
        <w:t>3.</w:t>
      </w:r>
      <w:r w:rsidR="00E473D8">
        <w:rPr>
          <w:sz w:val="28"/>
          <w:szCs w:val="28"/>
        </w:rPr>
        <w:t>10).</w:t>
      </w:r>
    </w:p>
    <w:p w:rsidR="00D0523E" w:rsidRDefault="00D0523E" w:rsidP="00A73B35">
      <w:pPr>
        <w:ind w:firstLine="567"/>
        <w:contextualSpacing/>
        <w:jc w:val="both"/>
        <w:rPr>
          <w:sz w:val="28"/>
          <w:szCs w:val="28"/>
        </w:rPr>
      </w:pPr>
    </w:p>
    <w:p w:rsidR="00893314" w:rsidRDefault="00893314" w:rsidP="00A73B35">
      <w:pPr>
        <w:ind w:firstLine="567"/>
        <w:contextualSpacing/>
        <w:jc w:val="both"/>
        <w:rPr>
          <w:sz w:val="28"/>
          <w:szCs w:val="28"/>
        </w:rPr>
      </w:pPr>
    </w:p>
    <w:p w:rsidR="00893314" w:rsidRDefault="00893314" w:rsidP="00A73B35">
      <w:pPr>
        <w:ind w:firstLine="567"/>
        <w:contextualSpacing/>
        <w:jc w:val="both"/>
        <w:rPr>
          <w:sz w:val="28"/>
          <w:szCs w:val="28"/>
        </w:rPr>
      </w:pPr>
    </w:p>
    <w:p w:rsidR="00E473D8" w:rsidRDefault="00E473D8" w:rsidP="00E473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B52E166" wp14:editId="459DF4E0">
            <wp:extent cx="6049645" cy="3795824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3314" w:rsidRPr="00E473D8" w:rsidRDefault="00E473D8" w:rsidP="00E473D8">
      <w:pPr>
        <w:ind w:firstLine="567"/>
        <w:contextualSpacing/>
        <w:jc w:val="center"/>
      </w:pPr>
      <w:r>
        <w:t xml:space="preserve">Рис. </w:t>
      </w:r>
      <w:r w:rsidR="00523C46">
        <w:t>3.</w:t>
      </w:r>
      <w:r>
        <w:t xml:space="preserve">10. </w:t>
      </w:r>
      <w:r w:rsidR="007D7B85">
        <w:t>Основные причины неиспользования платежных карт населением, % опрошенных</w:t>
      </w:r>
    </w:p>
    <w:p w:rsidR="00893314" w:rsidRDefault="00893314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произведения денежных переводов населением использовались возможности дистанционн</w:t>
      </w:r>
      <w:r w:rsidR="000220DC">
        <w:rPr>
          <w:sz w:val="28"/>
          <w:szCs w:val="28"/>
        </w:rPr>
        <w:t>ого доступа к банковскому счету. Итоги опроса 2021 года показали увеличение доли населения, использующего дистанционные способы расчетов относительно прошлого года, так: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727">
        <w:rPr>
          <w:sz w:val="28"/>
          <w:szCs w:val="28"/>
        </w:rPr>
        <w:t>интернет-банк</w:t>
      </w:r>
      <w:r>
        <w:rPr>
          <w:sz w:val="28"/>
          <w:szCs w:val="28"/>
        </w:rPr>
        <w:t xml:space="preserve">, открытый </w:t>
      </w:r>
      <w:r w:rsidRPr="000A2727">
        <w:rPr>
          <w:sz w:val="28"/>
          <w:szCs w:val="28"/>
        </w:rPr>
        <w:t>с помощью стационарного компьютера или ноутбука (через веб-</w:t>
      </w:r>
      <w:proofErr w:type="gramStart"/>
      <w:r w:rsidRPr="000A2727">
        <w:rPr>
          <w:sz w:val="28"/>
          <w:szCs w:val="28"/>
        </w:rPr>
        <w:t>браузер)</w:t>
      </w:r>
      <w:r w:rsidR="000220DC">
        <w:rPr>
          <w:sz w:val="28"/>
          <w:szCs w:val="28"/>
        </w:rPr>
        <w:t xml:space="preserve">  используют</w:t>
      </w:r>
      <w:proofErr w:type="gramEnd"/>
      <w:r w:rsidR="000220DC">
        <w:rPr>
          <w:sz w:val="28"/>
          <w:szCs w:val="28"/>
        </w:rPr>
        <w:t xml:space="preserve"> </w:t>
      </w:r>
      <w:r w:rsidR="007D7B85">
        <w:rPr>
          <w:sz w:val="28"/>
          <w:szCs w:val="28"/>
        </w:rPr>
        <w:t>48 чел</w:t>
      </w:r>
      <w:r w:rsidR="000220DC">
        <w:rPr>
          <w:sz w:val="28"/>
          <w:szCs w:val="28"/>
        </w:rPr>
        <w:t>.</w:t>
      </w:r>
      <w:r w:rsidR="007D7B85">
        <w:rPr>
          <w:sz w:val="28"/>
          <w:szCs w:val="28"/>
        </w:rPr>
        <w:t xml:space="preserve"> (62,3 % опрошенных респондентов, в 2020 году - </w:t>
      </w:r>
      <w:r>
        <w:rPr>
          <w:sz w:val="28"/>
          <w:szCs w:val="28"/>
        </w:rPr>
        <w:t>50 % опрошенных респондентов);</w:t>
      </w:r>
    </w:p>
    <w:p w:rsidR="000220DC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727">
        <w:rPr>
          <w:sz w:val="28"/>
          <w:szCs w:val="28"/>
        </w:rPr>
        <w:t>интернет-банк</w:t>
      </w:r>
      <w:r>
        <w:rPr>
          <w:sz w:val="28"/>
          <w:szCs w:val="28"/>
        </w:rPr>
        <w:t>, открытый</w:t>
      </w:r>
      <w:r w:rsidRPr="000A2727">
        <w:rPr>
          <w:sz w:val="28"/>
          <w:szCs w:val="28"/>
        </w:rPr>
        <w:t xml:space="preserve"> с помощью планшета или смартфона (через веб-браузер) на мобильном устройстве без использования специального приложения (программы) и без использования смс-команд </w:t>
      </w:r>
      <w:r>
        <w:rPr>
          <w:sz w:val="28"/>
          <w:szCs w:val="28"/>
        </w:rPr>
        <w:t xml:space="preserve">– </w:t>
      </w:r>
      <w:r w:rsidR="000220DC">
        <w:rPr>
          <w:sz w:val="28"/>
          <w:szCs w:val="28"/>
        </w:rPr>
        <w:t xml:space="preserve">48 чел. (62,3 % опрошенных респондентов, в 2020 году - 30 % опрошенных респондентов); </w:t>
      </w:r>
    </w:p>
    <w:p w:rsidR="000220DC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727">
        <w:rPr>
          <w:sz w:val="28"/>
          <w:szCs w:val="28"/>
        </w:rPr>
        <w:t>мобильный банк</w:t>
      </w:r>
      <w:r>
        <w:rPr>
          <w:sz w:val="28"/>
          <w:szCs w:val="28"/>
        </w:rPr>
        <w:t>, открытый</w:t>
      </w:r>
      <w:r w:rsidRPr="000A2727">
        <w:rPr>
          <w:sz w:val="28"/>
          <w:szCs w:val="28"/>
        </w:rPr>
        <w:t xml:space="preserve"> с помощью специализированного мобильного приложения (программы) для смартфона или планшета</w:t>
      </w:r>
      <w:r>
        <w:rPr>
          <w:sz w:val="28"/>
          <w:szCs w:val="28"/>
        </w:rPr>
        <w:t xml:space="preserve"> – </w:t>
      </w:r>
      <w:r w:rsidR="000220DC">
        <w:rPr>
          <w:sz w:val="28"/>
          <w:szCs w:val="28"/>
        </w:rPr>
        <w:t>54 чел. (70,1 % опрошенных респондентов, в 2020 году - 40 % опрошенных респондентов);</w:t>
      </w:r>
    </w:p>
    <w:p w:rsidR="00A73B35" w:rsidRDefault="000220DC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B35">
        <w:rPr>
          <w:sz w:val="28"/>
          <w:szCs w:val="28"/>
        </w:rPr>
        <w:t xml:space="preserve">- </w:t>
      </w:r>
      <w:r w:rsidR="00A73B35" w:rsidRPr="000A2727">
        <w:rPr>
          <w:sz w:val="28"/>
          <w:szCs w:val="28"/>
        </w:rPr>
        <w:t>мобильный банк</w:t>
      </w:r>
      <w:r w:rsidR="00A73B35">
        <w:rPr>
          <w:sz w:val="28"/>
          <w:szCs w:val="28"/>
        </w:rPr>
        <w:t>, открытый</w:t>
      </w:r>
      <w:r w:rsidR="00A73B35" w:rsidRPr="000A2727">
        <w:rPr>
          <w:sz w:val="28"/>
          <w:szCs w:val="28"/>
        </w:rPr>
        <w:t xml:space="preserve"> посредством сообщений с использованием мобильного телефона – с помощью отправки смс на короткий номер</w:t>
      </w:r>
      <w:r w:rsidR="00A73B3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21 чел. (27,3 % опрошенных респондентов, в 2020 году - 65 % опрошенных респондентов) (Рис. </w:t>
      </w:r>
      <w:r w:rsidR="00523C46">
        <w:rPr>
          <w:sz w:val="28"/>
          <w:szCs w:val="28"/>
        </w:rPr>
        <w:t>3.</w:t>
      </w:r>
      <w:r>
        <w:rPr>
          <w:sz w:val="28"/>
          <w:szCs w:val="28"/>
        </w:rPr>
        <w:t>11).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0220DC" w:rsidRDefault="000220DC" w:rsidP="000220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E855008" wp14:editId="7B5C03CA">
            <wp:extent cx="6057900" cy="3070747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contextualSpacing/>
        <w:jc w:val="center"/>
      </w:pPr>
      <w:r w:rsidRPr="006C6FDE">
        <w:t xml:space="preserve">Рис. </w:t>
      </w:r>
      <w:r w:rsidR="00523C46">
        <w:t>3.</w:t>
      </w:r>
      <w:r w:rsidR="000A6E48">
        <w:t>11</w:t>
      </w:r>
      <w:r w:rsidRPr="006C6FDE">
        <w:t xml:space="preserve">. Использование населением возможности дистанционного доступа </w:t>
      </w:r>
    </w:p>
    <w:p w:rsidR="00A73B35" w:rsidRDefault="000A6E48" w:rsidP="00A73B35">
      <w:pPr>
        <w:contextualSpacing/>
        <w:jc w:val="center"/>
      </w:pPr>
      <w:r>
        <w:t>к банковским счетам, % опрошенных</w:t>
      </w:r>
    </w:p>
    <w:p w:rsidR="00A73B35" w:rsidRDefault="00A73B35" w:rsidP="00A73B35">
      <w:pPr>
        <w:contextualSpacing/>
        <w:jc w:val="center"/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причин не использования онлайн-переводов были отмечены: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навыков использования онлайн-технологий – </w:t>
      </w:r>
      <w:r w:rsidR="000A6E48">
        <w:rPr>
          <w:sz w:val="28"/>
          <w:szCs w:val="28"/>
        </w:rPr>
        <w:t xml:space="preserve">15 чел. (19,5 % опрошенных респондентов, в 2020 году - </w:t>
      </w:r>
      <w:r>
        <w:rPr>
          <w:sz w:val="28"/>
          <w:szCs w:val="28"/>
        </w:rPr>
        <w:t>35 % опрошенных респондентов);</w:t>
      </w:r>
    </w:p>
    <w:p w:rsidR="000A6E48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неуверенность в безопасности интернет-сервисов – </w:t>
      </w:r>
      <w:r w:rsidR="000A6E48">
        <w:rPr>
          <w:sz w:val="28"/>
          <w:szCs w:val="28"/>
        </w:rPr>
        <w:t>12 чел. (15,6 % опрошенных респондентов, в 2020 году - 25 % опрошенных респондентов);</w:t>
      </w:r>
    </w:p>
    <w:p w:rsidR="00A73B35" w:rsidRDefault="000A6E48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B35">
        <w:rPr>
          <w:sz w:val="28"/>
          <w:szCs w:val="28"/>
        </w:rPr>
        <w:t xml:space="preserve">- отсутствие компьютера, ноутбука, планшета, смартфона – </w:t>
      </w:r>
      <w:r>
        <w:rPr>
          <w:sz w:val="28"/>
          <w:szCs w:val="28"/>
        </w:rPr>
        <w:t xml:space="preserve">14 чел. (18,2 % опрошенных респондентов, в 2020 году - 10 % опрошенных респондентов); 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интернет-подключения - </w:t>
      </w:r>
      <w:r w:rsidR="000A6E48">
        <w:rPr>
          <w:sz w:val="28"/>
          <w:szCs w:val="28"/>
        </w:rPr>
        <w:t xml:space="preserve">9 чел. (11,7 % опрошенных респондентов, в 2020 году - 10 % опрошенных респондентов) (Рис. </w:t>
      </w:r>
      <w:r w:rsidR="00523C46">
        <w:rPr>
          <w:sz w:val="28"/>
          <w:szCs w:val="28"/>
        </w:rPr>
        <w:t>3.</w:t>
      </w:r>
      <w:r w:rsidR="000A6E48">
        <w:rPr>
          <w:sz w:val="28"/>
          <w:szCs w:val="28"/>
        </w:rPr>
        <w:t>12).</w:t>
      </w:r>
    </w:p>
    <w:p w:rsidR="000A6E48" w:rsidRDefault="000A6E48" w:rsidP="00A73B35">
      <w:pPr>
        <w:ind w:firstLine="567"/>
        <w:contextualSpacing/>
        <w:jc w:val="both"/>
        <w:rPr>
          <w:sz w:val="28"/>
          <w:szCs w:val="28"/>
        </w:rPr>
      </w:pPr>
    </w:p>
    <w:p w:rsidR="000A6E48" w:rsidRDefault="000A6E48" w:rsidP="000A6E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A61F3D" wp14:editId="3D0951B5">
            <wp:extent cx="6057900" cy="271590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3B35" w:rsidRPr="006B349C" w:rsidRDefault="006B349C" w:rsidP="006B349C">
      <w:pPr>
        <w:ind w:firstLine="567"/>
        <w:contextualSpacing/>
        <w:jc w:val="center"/>
      </w:pPr>
      <w:r w:rsidRPr="006B349C">
        <w:t xml:space="preserve">Рис. </w:t>
      </w:r>
      <w:r w:rsidR="00523C46">
        <w:t>3.</w:t>
      </w:r>
      <w:r w:rsidRPr="006B349C">
        <w:t>12. Основные причины неиспользования населением онлайн-сервисов при совершении расчетов, % опрошенных.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Услугами страховых компаний в настоящее время пользуется </w:t>
      </w:r>
      <w:r w:rsidR="00565479">
        <w:rPr>
          <w:sz w:val="28"/>
          <w:szCs w:val="28"/>
        </w:rPr>
        <w:t>от 1</w:t>
      </w:r>
      <w:r w:rsidR="00C7043A">
        <w:rPr>
          <w:sz w:val="28"/>
          <w:szCs w:val="28"/>
        </w:rPr>
        <w:t>1</w:t>
      </w:r>
      <w:r w:rsidR="00565479">
        <w:rPr>
          <w:sz w:val="28"/>
          <w:szCs w:val="28"/>
        </w:rPr>
        <w:t xml:space="preserve"> до 44 %</w:t>
      </w:r>
      <w:r>
        <w:rPr>
          <w:sz w:val="28"/>
          <w:szCs w:val="28"/>
        </w:rPr>
        <w:t xml:space="preserve"> опрошенных респондентов, в том числе: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договор д</w:t>
      </w:r>
      <w:r w:rsidRPr="00237969">
        <w:rPr>
          <w:sz w:val="28"/>
          <w:szCs w:val="28"/>
        </w:rPr>
        <w:t>обровольно</w:t>
      </w:r>
      <w:r>
        <w:rPr>
          <w:sz w:val="28"/>
          <w:szCs w:val="28"/>
        </w:rPr>
        <w:t>го</w:t>
      </w:r>
      <w:r w:rsidRPr="00237969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237969">
        <w:rPr>
          <w:sz w:val="28"/>
          <w:szCs w:val="28"/>
        </w:rPr>
        <w:t xml:space="preserve"> жизни </w:t>
      </w:r>
      <w:r w:rsidR="00C7043A" w:rsidRPr="00C7043A">
        <w:rPr>
          <w:sz w:val="28"/>
          <w:szCs w:val="28"/>
        </w:rPr>
        <w:t>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</w:r>
      <w:r w:rsidR="00C7043A">
        <w:rPr>
          <w:sz w:val="28"/>
          <w:szCs w:val="28"/>
        </w:rPr>
        <w:t xml:space="preserve"> </w:t>
      </w:r>
      <w:proofErr w:type="gramStart"/>
      <w:r w:rsidR="00C7043A" w:rsidRPr="00C7043A">
        <w:rPr>
          <w:sz w:val="28"/>
          <w:szCs w:val="28"/>
        </w:rPr>
        <w:t xml:space="preserve">в </w:t>
      </w:r>
      <w:r w:rsidR="00C7043A">
        <w:rPr>
          <w:sz w:val="28"/>
          <w:szCs w:val="28"/>
        </w:rPr>
        <w:t xml:space="preserve"> 2021</w:t>
      </w:r>
      <w:proofErr w:type="gramEnd"/>
      <w:r w:rsidR="00C7043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заключили </w:t>
      </w:r>
      <w:r w:rsidR="00C7043A">
        <w:rPr>
          <w:sz w:val="28"/>
          <w:szCs w:val="28"/>
        </w:rPr>
        <w:t>11</w:t>
      </w:r>
      <w:r>
        <w:rPr>
          <w:sz w:val="28"/>
          <w:szCs w:val="28"/>
        </w:rPr>
        <w:t xml:space="preserve"> чел. (</w:t>
      </w:r>
      <w:r w:rsidR="00C7043A">
        <w:rPr>
          <w:sz w:val="28"/>
          <w:szCs w:val="28"/>
        </w:rPr>
        <w:t xml:space="preserve">14,3 % опрошенных респондентов, в 2020 году - </w:t>
      </w:r>
      <w:r>
        <w:rPr>
          <w:sz w:val="28"/>
          <w:szCs w:val="28"/>
        </w:rPr>
        <w:t>10 % опрошенных респондентов);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договор добровольного</w:t>
      </w:r>
      <w:r w:rsidRPr="00237969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237969">
        <w:rPr>
          <w:sz w:val="28"/>
          <w:szCs w:val="28"/>
        </w:rPr>
        <w:t>, кроме страхования жизни</w:t>
      </w:r>
      <w:r>
        <w:rPr>
          <w:sz w:val="28"/>
          <w:szCs w:val="28"/>
        </w:rPr>
        <w:t xml:space="preserve"> </w:t>
      </w:r>
      <w:r w:rsidR="00C7043A" w:rsidRPr="00C7043A">
        <w:rPr>
          <w:sz w:val="28"/>
          <w:szCs w:val="28"/>
        </w:rPr>
        <w:t xml:space="preserve">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 </w:t>
      </w:r>
      <w:r>
        <w:rPr>
          <w:sz w:val="28"/>
          <w:szCs w:val="28"/>
        </w:rPr>
        <w:t>- заключил</w:t>
      </w:r>
      <w:r w:rsidR="00C7043A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C7043A">
        <w:rPr>
          <w:sz w:val="28"/>
          <w:szCs w:val="28"/>
        </w:rPr>
        <w:t>2</w:t>
      </w:r>
      <w:r>
        <w:rPr>
          <w:sz w:val="28"/>
          <w:szCs w:val="28"/>
        </w:rPr>
        <w:t xml:space="preserve"> чел. (</w:t>
      </w:r>
      <w:r w:rsidR="00C7043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7043A">
        <w:rPr>
          <w:sz w:val="28"/>
          <w:szCs w:val="28"/>
        </w:rPr>
        <w:t>,5</w:t>
      </w:r>
      <w:r>
        <w:rPr>
          <w:sz w:val="28"/>
          <w:szCs w:val="28"/>
        </w:rPr>
        <w:t xml:space="preserve"> % опрошенных респондентов</w:t>
      </w:r>
      <w:r w:rsidR="00C7043A">
        <w:rPr>
          <w:sz w:val="28"/>
          <w:szCs w:val="28"/>
        </w:rPr>
        <w:t>, в 2020 году - 5 % опрошенных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договор д</w:t>
      </w:r>
      <w:r w:rsidRPr="00237969">
        <w:rPr>
          <w:sz w:val="28"/>
          <w:szCs w:val="28"/>
        </w:rPr>
        <w:t>руго</w:t>
      </w:r>
      <w:r>
        <w:rPr>
          <w:sz w:val="28"/>
          <w:szCs w:val="28"/>
        </w:rPr>
        <w:t>го</w:t>
      </w:r>
      <w:r w:rsidRPr="00237969">
        <w:rPr>
          <w:sz w:val="28"/>
          <w:szCs w:val="28"/>
        </w:rPr>
        <w:t xml:space="preserve"> обязательно</w:t>
      </w:r>
      <w:r>
        <w:rPr>
          <w:sz w:val="28"/>
          <w:szCs w:val="28"/>
        </w:rPr>
        <w:t>го</w:t>
      </w:r>
      <w:r w:rsidRPr="00237969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237969">
        <w:rPr>
          <w:sz w:val="28"/>
          <w:szCs w:val="28"/>
        </w:rPr>
        <w:t xml:space="preserve">, </w:t>
      </w:r>
      <w:r w:rsidR="00C7043A" w:rsidRPr="00C7043A">
        <w:rPr>
          <w:sz w:val="28"/>
          <w:szCs w:val="28"/>
        </w:rPr>
        <w:t>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</w:r>
      <w:r w:rsidR="00C7043A">
        <w:rPr>
          <w:sz w:val="28"/>
          <w:szCs w:val="28"/>
        </w:rPr>
        <w:t xml:space="preserve"> имеют 44 чел. (57,1 </w:t>
      </w:r>
      <w:r>
        <w:rPr>
          <w:sz w:val="28"/>
          <w:szCs w:val="28"/>
        </w:rPr>
        <w:t>% опрошенных респондентов</w:t>
      </w:r>
      <w:r w:rsidR="00C7043A">
        <w:rPr>
          <w:sz w:val="28"/>
          <w:szCs w:val="28"/>
        </w:rPr>
        <w:t>, в 2020 году - 5 % опрошенных респондентов</w:t>
      </w:r>
      <w:r w:rsidR="00E716DA">
        <w:rPr>
          <w:sz w:val="28"/>
          <w:szCs w:val="28"/>
        </w:rPr>
        <w:t xml:space="preserve">) (Рис. </w:t>
      </w:r>
      <w:r w:rsidR="00523C46">
        <w:rPr>
          <w:sz w:val="28"/>
          <w:szCs w:val="28"/>
        </w:rPr>
        <w:t>3.</w:t>
      </w:r>
      <w:r w:rsidR="00E716DA">
        <w:rPr>
          <w:sz w:val="28"/>
          <w:szCs w:val="28"/>
        </w:rPr>
        <w:t>13).</w:t>
      </w:r>
    </w:p>
    <w:p w:rsidR="006471F6" w:rsidRDefault="006471F6" w:rsidP="006471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BA5145" wp14:editId="66CCB009">
            <wp:extent cx="6057900" cy="249754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71F6" w:rsidRPr="00277BE0" w:rsidRDefault="00E716DA" w:rsidP="00277BE0">
      <w:pPr>
        <w:ind w:firstLine="567"/>
        <w:contextualSpacing/>
        <w:jc w:val="center"/>
      </w:pPr>
      <w:r w:rsidRPr="00277BE0">
        <w:t xml:space="preserve">Рис. </w:t>
      </w:r>
      <w:r w:rsidR="00523C46">
        <w:t>3.</w:t>
      </w:r>
      <w:r w:rsidRPr="00277BE0">
        <w:t xml:space="preserve">13. </w:t>
      </w:r>
      <w:r w:rsidR="00277BE0" w:rsidRPr="00277BE0">
        <w:t>Востребованность услуг страховых компаний, % опрошенных.</w:t>
      </w:r>
    </w:p>
    <w:p w:rsidR="00277BE0" w:rsidRDefault="00277BE0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спроса на услуги страховых компаний респонденты объясняют: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отсутствием смысла в страховании – </w:t>
      </w:r>
      <w:r w:rsidR="00C7043A">
        <w:rPr>
          <w:sz w:val="28"/>
          <w:szCs w:val="28"/>
        </w:rPr>
        <w:t>21</w:t>
      </w:r>
      <w:r>
        <w:rPr>
          <w:sz w:val="28"/>
          <w:szCs w:val="28"/>
        </w:rPr>
        <w:t xml:space="preserve"> чел. (</w:t>
      </w:r>
      <w:r w:rsidR="00C7043A">
        <w:rPr>
          <w:sz w:val="28"/>
          <w:szCs w:val="28"/>
        </w:rPr>
        <w:t xml:space="preserve">27,3 % опрошенных респондентов, в 2020 году -  </w:t>
      </w:r>
      <w:r>
        <w:rPr>
          <w:sz w:val="28"/>
          <w:szCs w:val="28"/>
        </w:rPr>
        <w:t>40% опрошенных</w:t>
      </w:r>
      <w:r w:rsidR="00C7043A">
        <w:rPr>
          <w:sz w:val="28"/>
          <w:szCs w:val="28"/>
        </w:rPr>
        <w:t xml:space="preserve">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недоверием к страховым организациям - </w:t>
      </w:r>
      <w:r w:rsidR="00C7043A">
        <w:rPr>
          <w:sz w:val="28"/>
          <w:szCs w:val="28"/>
        </w:rPr>
        <w:t>12</w:t>
      </w:r>
      <w:r>
        <w:rPr>
          <w:sz w:val="28"/>
          <w:szCs w:val="28"/>
        </w:rPr>
        <w:t xml:space="preserve"> чел. (</w:t>
      </w:r>
      <w:r w:rsidR="00C7043A">
        <w:rPr>
          <w:sz w:val="28"/>
          <w:szCs w:val="28"/>
        </w:rPr>
        <w:t xml:space="preserve">15,6 % опрошенных респондентов, в 2020 году - </w:t>
      </w:r>
      <w:r>
        <w:rPr>
          <w:sz w:val="28"/>
          <w:szCs w:val="28"/>
        </w:rPr>
        <w:t>40 % опрошенных);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высокой стоимостью страхового полиса - </w:t>
      </w:r>
      <w:r w:rsidR="00C7043A">
        <w:rPr>
          <w:sz w:val="28"/>
          <w:szCs w:val="28"/>
        </w:rPr>
        <w:t>7</w:t>
      </w:r>
      <w:r>
        <w:rPr>
          <w:sz w:val="28"/>
          <w:szCs w:val="28"/>
        </w:rPr>
        <w:t xml:space="preserve"> чел. (</w:t>
      </w:r>
      <w:r w:rsidR="00C7043A">
        <w:rPr>
          <w:sz w:val="28"/>
          <w:szCs w:val="28"/>
        </w:rPr>
        <w:t>9,1</w:t>
      </w:r>
      <w:r>
        <w:rPr>
          <w:sz w:val="28"/>
          <w:szCs w:val="28"/>
        </w:rPr>
        <w:t xml:space="preserve"> % опрошенных</w:t>
      </w:r>
      <w:r w:rsidR="00C7043A" w:rsidRPr="00C7043A">
        <w:rPr>
          <w:sz w:val="28"/>
          <w:szCs w:val="28"/>
        </w:rPr>
        <w:t xml:space="preserve"> </w:t>
      </w:r>
      <w:r w:rsidR="00C7043A">
        <w:rPr>
          <w:sz w:val="28"/>
          <w:szCs w:val="28"/>
        </w:rPr>
        <w:t>респондентов, в 2020 году - 20 % опрошенных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страхования у других членов семьи - </w:t>
      </w:r>
      <w:r w:rsidR="00C7043A">
        <w:rPr>
          <w:sz w:val="28"/>
          <w:szCs w:val="28"/>
        </w:rPr>
        <w:t>5</w:t>
      </w:r>
      <w:r>
        <w:rPr>
          <w:sz w:val="28"/>
          <w:szCs w:val="28"/>
        </w:rPr>
        <w:t xml:space="preserve"> чел. (</w:t>
      </w:r>
      <w:r w:rsidR="00C7043A">
        <w:rPr>
          <w:sz w:val="28"/>
          <w:szCs w:val="28"/>
        </w:rPr>
        <w:t>6,5</w:t>
      </w:r>
      <w:r>
        <w:rPr>
          <w:sz w:val="28"/>
          <w:szCs w:val="28"/>
        </w:rPr>
        <w:t xml:space="preserve"> % опрошенных</w:t>
      </w:r>
      <w:r w:rsidR="00C7043A">
        <w:rPr>
          <w:sz w:val="28"/>
          <w:szCs w:val="28"/>
        </w:rPr>
        <w:t xml:space="preserve"> респондентов, в 2020 году - 20 % опрошенных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невыгодными условиями страхования - </w:t>
      </w:r>
      <w:r w:rsidR="00C7043A">
        <w:rPr>
          <w:sz w:val="28"/>
          <w:szCs w:val="28"/>
        </w:rPr>
        <w:t>4</w:t>
      </w:r>
      <w:r>
        <w:rPr>
          <w:sz w:val="28"/>
          <w:szCs w:val="28"/>
        </w:rPr>
        <w:t xml:space="preserve"> чел. (</w:t>
      </w:r>
      <w:r w:rsidR="00C7043A">
        <w:rPr>
          <w:sz w:val="28"/>
          <w:szCs w:val="28"/>
        </w:rPr>
        <w:t>5,2</w:t>
      </w:r>
      <w:r>
        <w:rPr>
          <w:sz w:val="28"/>
          <w:szCs w:val="28"/>
        </w:rPr>
        <w:t xml:space="preserve"> % опрошенных</w:t>
      </w:r>
      <w:r w:rsidR="00C7043A">
        <w:rPr>
          <w:sz w:val="28"/>
          <w:szCs w:val="28"/>
        </w:rPr>
        <w:t xml:space="preserve"> респондентов, в 2020 году - 10 % опрошенных</w:t>
      </w:r>
      <w:r>
        <w:rPr>
          <w:sz w:val="28"/>
          <w:szCs w:val="28"/>
        </w:rPr>
        <w:t xml:space="preserve">) (Рис. </w:t>
      </w:r>
      <w:r w:rsidR="00523C46">
        <w:rPr>
          <w:sz w:val="28"/>
          <w:szCs w:val="28"/>
        </w:rPr>
        <w:t>3.</w:t>
      </w:r>
      <w:r w:rsidR="00277BE0">
        <w:rPr>
          <w:sz w:val="28"/>
          <w:szCs w:val="28"/>
        </w:rPr>
        <w:t>14</w:t>
      </w:r>
      <w:r>
        <w:rPr>
          <w:sz w:val="28"/>
          <w:szCs w:val="28"/>
        </w:rPr>
        <w:t>).</w:t>
      </w:r>
    </w:p>
    <w:p w:rsidR="006471F6" w:rsidRDefault="006471F6" w:rsidP="006471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241E54" wp14:editId="17AC4845">
            <wp:extent cx="6057900" cy="2429301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71F6" w:rsidRDefault="006471F6" w:rsidP="00A73B35">
      <w:pPr>
        <w:ind w:firstLine="567"/>
        <w:contextualSpacing/>
        <w:jc w:val="both"/>
      </w:pPr>
    </w:p>
    <w:p w:rsidR="00277BE0" w:rsidRDefault="00A73B35" w:rsidP="00277BE0">
      <w:pPr>
        <w:ind w:firstLine="567"/>
        <w:contextualSpacing/>
        <w:jc w:val="center"/>
      </w:pPr>
      <w:r w:rsidRPr="00C9132D">
        <w:t xml:space="preserve">Рис. </w:t>
      </w:r>
      <w:r w:rsidR="00523C46">
        <w:t>3.</w:t>
      </w:r>
      <w:r w:rsidR="00277BE0">
        <w:t>14</w:t>
      </w:r>
      <w:r>
        <w:t xml:space="preserve">. </w:t>
      </w:r>
      <w:r w:rsidRPr="00C9132D">
        <w:t xml:space="preserve"> </w:t>
      </w:r>
      <w:r w:rsidR="00277BE0">
        <w:t>Основные</w:t>
      </w:r>
      <w:r w:rsidRPr="00C9132D">
        <w:t xml:space="preserve"> причины отсутствия спроса на </w:t>
      </w:r>
      <w:r w:rsidR="00277BE0">
        <w:t xml:space="preserve">услуги страховых компаний, </w:t>
      </w:r>
    </w:p>
    <w:p w:rsidR="00A73B35" w:rsidRPr="00C9132D" w:rsidRDefault="00277BE0" w:rsidP="00277BE0">
      <w:pPr>
        <w:ind w:firstLine="567"/>
        <w:contextualSpacing/>
        <w:jc w:val="center"/>
      </w:pPr>
      <w:r>
        <w:t xml:space="preserve">% </w:t>
      </w:r>
      <w:proofErr w:type="gramStart"/>
      <w:r>
        <w:t>опрошенных.</w:t>
      </w:r>
      <w:r w:rsidR="00A73B35">
        <w:t>.</w:t>
      </w:r>
      <w:proofErr w:type="gramEnd"/>
    </w:p>
    <w:p w:rsidR="00A73B35" w:rsidRDefault="00A73B35" w:rsidP="00277BE0">
      <w:pPr>
        <w:ind w:firstLine="567"/>
        <w:contextualSpacing/>
        <w:jc w:val="center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Мониторинг удовлетворенности деятельностью в сфере финансовых услуг.</w:t>
      </w:r>
    </w:p>
    <w:p w:rsidR="00A73B35" w:rsidRDefault="00A73B35" w:rsidP="00A73B35">
      <w:pPr>
        <w:ind w:firstLine="567"/>
        <w:contextualSpacing/>
        <w:jc w:val="both"/>
        <w:rPr>
          <w:b/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D72C75">
        <w:rPr>
          <w:sz w:val="28"/>
          <w:szCs w:val="28"/>
        </w:rPr>
        <w:t>В ответ на вопрос об удовлетворенности работой (сервисом) финансовых организаций при оформлении или использовании финансовых услуг</w:t>
      </w:r>
      <w:r>
        <w:rPr>
          <w:sz w:val="28"/>
          <w:szCs w:val="28"/>
        </w:rPr>
        <w:t xml:space="preserve"> </w:t>
      </w:r>
      <w:r w:rsidR="0072073D">
        <w:rPr>
          <w:sz w:val="28"/>
          <w:szCs w:val="28"/>
        </w:rPr>
        <w:t xml:space="preserve">(приложение 3.1.) </w:t>
      </w:r>
      <w:r>
        <w:rPr>
          <w:sz w:val="28"/>
          <w:szCs w:val="28"/>
        </w:rPr>
        <w:t>респонденты распределились следующим образом</w:t>
      </w:r>
      <w:r w:rsidR="00646C01">
        <w:rPr>
          <w:sz w:val="28"/>
          <w:szCs w:val="28"/>
        </w:rPr>
        <w:t xml:space="preserve"> (Таб.</w:t>
      </w:r>
      <w:r w:rsidR="009C33DA">
        <w:rPr>
          <w:sz w:val="28"/>
          <w:szCs w:val="28"/>
        </w:rPr>
        <w:t xml:space="preserve"> </w:t>
      </w:r>
      <w:r w:rsidR="00523C46">
        <w:rPr>
          <w:sz w:val="28"/>
          <w:szCs w:val="28"/>
        </w:rPr>
        <w:t>3.</w:t>
      </w:r>
      <w:r w:rsidR="00646C01">
        <w:rPr>
          <w:sz w:val="28"/>
          <w:szCs w:val="28"/>
        </w:rPr>
        <w:t>3)</w:t>
      </w:r>
      <w:r>
        <w:rPr>
          <w:sz w:val="28"/>
          <w:szCs w:val="28"/>
        </w:rPr>
        <w:t>:</w:t>
      </w:r>
    </w:p>
    <w:p w:rsidR="009C33DA" w:rsidRDefault="009C33DA" w:rsidP="009C33DA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23C46">
        <w:rPr>
          <w:sz w:val="28"/>
          <w:szCs w:val="28"/>
        </w:rPr>
        <w:t>3.</w:t>
      </w:r>
      <w:r>
        <w:rPr>
          <w:sz w:val="28"/>
          <w:szCs w:val="28"/>
        </w:rPr>
        <w:t>3</w:t>
      </w:r>
    </w:p>
    <w:p w:rsidR="009C33DA" w:rsidRDefault="009C33DA" w:rsidP="009C33DA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удовлетворенности населения </w:t>
      </w:r>
      <w:r w:rsidRPr="00D72C75">
        <w:rPr>
          <w:sz w:val="28"/>
          <w:szCs w:val="28"/>
        </w:rPr>
        <w:t>работой (сервисом) финансовых организаций при оформлении или использовании финансовых услуг</w:t>
      </w:r>
    </w:p>
    <w:p w:rsidR="00646C01" w:rsidRDefault="00646C01" w:rsidP="00A73B35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0"/>
        <w:gridCol w:w="651"/>
        <w:gridCol w:w="651"/>
        <w:gridCol w:w="1172"/>
        <w:gridCol w:w="639"/>
        <w:gridCol w:w="639"/>
        <w:gridCol w:w="1172"/>
        <w:gridCol w:w="616"/>
        <w:gridCol w:w="666"/>
        <w:gridCol w:w="1122"/>
      </w:tblGrid>
      <w:tr w:rsidR="00646C01" w:rsidRPr="00D96F97" w:rsidTr="00646C01">
        <w:tc>
          <w:tcPr>
            <w:tcW w:w="2586" w:type="dxa"/>
          </w:tcPr>
          <w:p w:rsidR="00646C01" w:rsidRPr="00D96F97" w:rsidRDefault="00646C01" w:rsidP="00A73B3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3"/>
          </w:tcPr>
          <w:p w:rsidR="00646C01" w:rsidRPr="00D96F97" w:rsidRDefault="00646C01" w:rsidP="00646C01">
            <w:pPr>
              <w:jc w:val="center"/>
              <w:rPr>
                <w:color w:val="000000"/>
                <w:sz w:val="20"/>
                <w:szCs w:val="20"/>
              </w:rPr>
            </w:pPr>
            <w:r w:rsidRPr="00D96F97">
              <w:rPr>
                <w:color w:val="000000"/>
                <w:sz w:val="20"/>
                <w:szCs w:val="20"/>
              </w:rPr>
              <w:t>Удовлетворен или скорее удовлетворен, % опрошенных</w:t>
            </w:r>
          </w:p>
          <w:p w:rsidR="00646C01" w:rsidRPr="00D96F97" w:rsidRDefault="00646C01" w:rsidP="00646C0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646C01" w:rsidRPr="00D96F97" w:rsidRDefault="00646C01" w:rsidP="00646C01">
            <w:pPr>
              <w:jc w:val="both"/>
              <w:rPr>
                <w:sz w:val="20"/>
                <w:szCs w:val="20"/>
              </w:rPr>
            </w:pPr>
            <w:r w:rsidRPr="00D96F97">
              <w:rPr>
                <w:sz w:val="20"/>
                <w:szCs w:val="20"/>
              </w:rPr>
              <w:t>Не удовлетворен/скорее не удовлетворен, % опрошенных</w:t>
            </w:r>
          </w:p>
          <w:p w:rsidR="00646C01" w:rsidRPr="00D96F97" w:rsidRDefault="00646C01" w:rsidP="00A73B3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</w:tcPr>
          <w:p w:rsidR="00646C01" w:rsidRPr="00D96F97" w:rsidRDefault="00646C01" w:rsidP="00646C01">
            <w:pPr>
              <w:jc w:val="both"/>
              <w:rPr>
                <w:sz w:val="20"/>
                <w:szCs w:val="20"/>
              </w:rPr>
            </w:pPr>
            <w:r w:rsidRPr="00D96F97">
              <w:rPr>
                <w:sz w:val="20"/>
                <w:szCs w:val="20"/>
              </w:rPr>
              <w:t>Не сталкивался, % опрошенных</w:t>
            </w:r>
          </w:p>
          <w:p w:rsidR="00646C01" w:rsidRPr="00D96F97" w:rsidRDefault="00646C01" w:rsidP="00A73B3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2021</w:t>
            </w:r>
          </w:p>
        </w:tc>
        <w:tc>
          <w:tcPr>
            <w:tcW w:w="1303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2021/2020, %</w:t>
            </w:r>
          </w:p>
        </w:tc>
        <w:tc>
          <w:tcPr>
            <w:tcW w:w="698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2020</w:t>
            </w:r>
          </w:p>
        </w:tc>
        <w:tc>
          <w:tcPr>
            <w:tcW w:w="698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2021</w:t>
            </w:r>
          </w:p>
        </w:tc>
        <w:tc>
          <w:tcPr>
            <w:tcW w:w="1303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2021/2020, %</w:t>
            </w:r>
          </w:p>
        </w:tc>
        <w:tc>
          <w:tcPr>
            <w:tcW w:w="519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2020</w:t>
            </w:r>
          </w:p>
        </w:tc>
        <w:tc>
          <w:tcPr>
            <w:tcW w:w="519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2021</w:t>
            </w:r>
          </w:p>
        </w:tc>
        <w:tc>
          <w:tcPr>
            <w:tcW w:w="519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2021/2020, %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Банки</w:t>
            </w:r>
          </w:p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42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proofErr w:type="spellStart"/>
            <w:r w:rsidRPr="00646C01">
              <w:rPr>
                <w:sz w:val="20"/>
                <w:szCs w:val="20"/>
              </w:rPr>
              <w:t>Микрофинансовые</w:t>
            </w:r>
            <w:proofErr w:type="spellEnd"/>
            <w:r w:rsidRPr="00646C01">
              <w:rPr>
                <w:sz w:val="20"/>
                <w:szCs w:val="20"/>
              </w:rPr>
              <w:t xml:space="preserve"> организации</w:t>
            </w:r>
          </w:p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303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Кредитные потребительские кооперативы</w:t>
            </w:r>
          </w:p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303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Ломбарды</w:t>
            </w:r>
          </w:p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lastRenderedPageBreak/>
              <w:t>Субъекты страхового дела (страховые организации, общества взаимного страхования и страховые брокеры)</w:t>
            </w:r>
          </w:p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</w:tr>
      <w:tr w:rsidR="00646C01" w:rsidRPr="00646C01" w:rsidTr="00646C01">
        <w:tc>
          <w:tcPr>
            <w:tcW w:w="2586" w:type="dxa"/>
          </w:tcPr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  <w:r w:rsidRPr="00646C01">
              <w:rPr>
                <w:sz w:val="20"/>
                <w:szCs w:val="20"/>
              </w:rPr>
              <w:t>Брокеры</w:t>
            </w:r>
          </w:p>
          <w:p w:rsidR="00646C01" w:rsidRPr="00646C01" w:rsidRDefault="00646C01" w:rsidP="0064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646C01" w:rsidRPr="00646C01" w:rsidRDefault="00646C01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8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</w:tcPr>
          <w:p w:rsidR="00646C01" w:rsidRPr="00646C01" w:rsidRDefault="00BA60AB" w:rsidP="00646C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</w:tbl>
    <w:p w:rsidR="009C33DA" w:rsidRDefault="009C33DA" w:rsidP="00D96F97">
      <w:pPr>
        <w:ind w:firstLine="567"/>
        <w:contextualSpacing/>
        <w:jc w:val="both"/>
        <w:rPr>
          <w:sz w:val="28"/>
          <w:szCs w:val="28"/>
        </w:rPr>
      </w:pPr>
    </w:p>
    <w:p w:rsidR="006452A4" w:rsidRDefault="00A73B35" w:rsidP="00D96F9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удовлетворенности населения работой (сервисами) той или иной финансовой организации отразился на уровне доверия к данным организациям. В соответствии с результатами опроса </w:t>
      </w:r>
      <w:r w:rsidR="00D96F97">
        <w:rPr>
          <w:sz w:val="28"/>
          <w:szCs w:val="28"/>
        </w:rPr>
        <w:t xml:space="preserve">в 2021 году, так </w:t>
      </w:r>
      <w:proofErr w:type="gramStart"/>
      <w:r w:rsidR="00D96F97">
        <w:rPr>
          <w:sz w:val="28"/>
          <w:szCs w:val="28"/>
        </w:rPr>
        <w:t>же</w:t>
      </w:r>
      <w:proofErr w:type="gramEnd"/>
      <w:r w:rsidR="00D96F97">
        <w:rPr>
          <w:sz w:val="28"/>
          <w:szCs w:val="28"/>
        </w:rPr>
        <w:t xml:space="preserve"> как и в прошлом, </w:t>
      </w:r>
      <w:r>
        <w:rPr>
          <w:sz w:val="28"/>
          <w:szCs w:val="28"/>
        </w:rPr>
        <w:t xml:space="preserve">больше всего люди доверяют банковским структурам – </w:t>
      </w:r>
      <w:r w:rsidR="00D96F97">
        <w:rPr>
          <w:sz w:val="28"/>
          <w:szCs w:val="28"/>
        </w:rPr>
        <w:t>51 чел</w:t>
      </w:r>
      <w:r>
        <w:rPr>
          <w:sz w:val="28"/>
          <w:szCs w:val="28"/>
        </w:rPr>
        <w:t xml:space="preserve">. </w:t>
      </w:r>
      <w:r w:rsidR="00D96F97">
        <w:rPr>
          <w:sz w:val="28"/>
          <w:szCs w:val="28"/>
        </w:rPr>
        <w:t xml:space="preserve">(66,2 % опрошенных респондентов, в 2020 году - </w:t>
      </w:r>
      <w:r>
        <w:rPr>
          <w:sz w:val="28"/>
          <w:szCs w:val="28"/>
        </w:rPr>
        <w:t>80 % респондентов</w:t>
      </w:r>
      <w:r w:rsidR="00D96F97">
        <w:rPr>
          <w:sz w:val="28"/>
          <w:szCs w:val="28"/>
        </w:rPr>
        <w:t>)</w:t>
      </w:r>
      <w:r w:rsidR="006452A4">
        <w:rPr>
          <w:sz w:val="28"/>
          <w:szCs w:val="28"/>
        </w:rPr>
        <w:t>.</w:t>
      </w:r>
    </w:p>
    <w:p w:rsidR="00A73B35" w:rsidRDefault="006452A4" w:rsidP="006452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доверие граждан по итогам опроса 2021 года к </w:t>
      </w:r>
      <w:r w:rsidR="00D96F97">
        <w:rPr>
          <w:sz w:val="28"/>
          <w:szCs w:val="28"/>
        </w:rPr>
        <w:t xml:space="preserve">страховым организациям - 16 чел. (20,8 % опрошенных респондентов, в 2020 году </w:t>
      </w:r>
      <w:r>
        <w:rPr>
          <w:sz w:val="28"/>
          <w:szCs w:val="28"/>
        </w:rPr>
        <w:t>–</w:t>
      </w:r>
      <w:r w:rsidR="00D96F97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 не отмечена</w:t>
      </w:r>
      <w:r w:rsidR="00D96F97">
        <w:rPr>
          <w:sz w:val="28"/>
          <w:szCs w:val="28"/>
        </w:rPr>
        <w:t>),</w:t>
      </w:r>
      <w:r>
        <w:rPr>
          <w:sz w:val="28"/>
          <w:szCs w:val="28"/>
        </w:rPr>
        <w:t xml:space="preserve"> с</w:t>
      </w:r>
      <w:r w:rsidRPr="006452A4">
        <w:rPr>
          <w:sz w:val="28"/>
          <w:szCs w:val="28"/>
        </w:rPr>
        <w:t>ельскохозяйственны</w:t>
      </w:r>
      <w:r>
        <w:rPr>
          <w:sz w:val="28"/>
          <w:szCs w:val="28"/>
        </w:rPr>
        <w:t>м</w:t>
      </w:r>
      <w:r w:rsidRPr="006452A4">
        <w:rPr>
          <w:sz w:val="28"/>
          <w:szCs w:val="28"/>
        </w:rPr>
        <w:t xml:space="preserve"> кредитны</w:t>
      </w:r>
      <w:r>
        <w:rPr>
          <w:sz w:val="28"/>
          <w:szCs w:val="28"/>
        </w:rPr>
        <w:t>м</w:t>
      </w:r>
      <w:r w:rsidRPr="006452A4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м</w:t>
      </w:r>
      <w:r w:rsidRPr="006452A4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 xml:space="preserve">ам - 9 чел. (11,7 % опрошенных респондентов, в 2020 году – позиция не отмечена), негосударственным пенсионным фондам - 9 чел. (11,7 % опрошенных респондентов, в 2020 году – позиция не отмечена), кредитным потребительским кооперативам - 6 чел. (7,8 % опрошенных респондентов, в 2020 году – 5 % опрошенных респондентов), </w:t>
      </w:r>
      <w:proofErr w:type="spellStart"/>
      <w:r>
        <w:rPr>
          <w:sz w:val="28"/>
          <w:szCs w:val="28"/>
        </w:rPr>
        <w:t>микрофинансовым</w:t>
      </w:r>
      <w:proofErr w:type="spellEnd"/>
      <w:r>
        <w:rPr>
          <w:sz w:val="28"/>
          <w:szCs w:val="28"/>
        </w:rPr>
        <w:t xml:space="preserve"> организациям - 6 чел. (7,8 % опрошенных респондентов, в 2020 году – 5 % опрошенных респондентов)</w:t>
      </w:r>
      <w:r w:rsidR="00CF4EAF">
        <w:rPr>
          <w:sz w:val="28"/>
          <w:szCs w:val="28"/>
        </w:rPr>
        <w:t xml:space="preserve"> (Рис. </w:t>
      </w:r>
      <w:r w:rsidR="00523C46">
        <w:rPr>
          <w:sz w:val="28"/>
          <w:szCs w:val="28"/>
        </w:rPr>
        <w:t>3.</w:t>
      </w:r>
      <w:r w:rsidR="00CF4EAF">
        <w:rPr>
          <w:sz w:val="28"/>
          <w:szCs w:val="28"/>
        </w:rPr>
        <w:t>15)</w:t>
      </w:r>
      <w:r>
        <w:rPr>
          <w:sz w:val="28"/>
          <w:szCs w:val="28"/>
        </w:rPr>
        <w:t>.</w:t>
      </w:r>
    </w:p>
    <w:p w:rsidR="006B242D" w:rsidRDefault="006B242D" w:rsidP="006B24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8FA0AF" wp14:editId="4A1432F7">
            <wp:extent cx="6057900" cy="3330054"/>
            <wp:effectExtent l="0" t="0" r="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3B35" w:rsidRPr="00CF4EAF" w:rsidRDefault="00CF4EAF" w:rsidP="00CF4EAF">
      <w:pPr>
        <w:ind w:firstLine="567"/>
        <w:contextualSpacing/>
        <w:jc w:val="center"/>
      </w:pPr>
      <w:r w:rsidRPr="00CF4EAF">
        <w:t xml:space="preserve">Рис. </w:t>
      </w:r>
      <w:r w:rsidR="00523C46">
        <w:t>3.</w:t>
      </w:r>
      <w:r w:rsidRPr="00CF4EAF">
        <w:t>15. Уровень доверия населения к финансовым организациям, % опрошенных.</w:t>
      </w:r>
    </w:p>
    <w:p w:rsidR="00CF4EAF" w:rsidRDefault="00CF4EAF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 недоверие (или скорее недоверие) высказали: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банкам – </w:t>
      </w:r>
      <w:r w:rsidR="00F31464">
        <w:rPr>
          <w:sz w:val="28"/>
          <w:szCs w:val="28"/>
        </w:rPr>
        <w:t>1</w:t>
      </w:r>
      <w:r>
        <w:rPr>
          <w:sz w:val="28"/>
          <w:szCs w:val="28"/>
        </w:rPr>
        <w:t>4 чел. (</w:t>
      </w:r>
      <w:r w:rsidR="00F31464">
        <w:rPr>
          <w:sz w:val="28"/>
          <w:szCs w:val="28"/>
        </w:rPr>
        <w:t xml:space="preserve">18,2 % опрошенных респондентов, в 2020 году - </w:t>
      </w:r>
      <w:r>
        <w:rPr>
          <w:sz w:val="28"/>
          <w:szCs w:val="28"/>
        </w:rPr>
        <w:t>20 %);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proofErr w:type="spellStart"/>
      <w:r>
        <w:rPr>
          <w:sz w:val="28"/>
          <w:szCs w:val="28"/>
        </w:rPr>
        <w:t>микрофинансовым</w:t>
      </w:r>
      <w:proofErr w:type="spellEnd"/>
      <w:r>
        <w:rPr>
          <w:sz w:val="28"/>
          <w:szCs w:val="28"/>
        </w:rPr>
        <w:t xml:space="preserve"> организациям – </w:t>
      </w:r>
      <w:r w:rsidR="00F31464">
        <w:rPr>
          <w:sz w:val="28"/>
          <w:szCs w:val="28"/>
        </w:rPr>
        <w:t xml:space="preserve">3 чел. (3,9 % опрошенных респондентов, в 2020 году - </w:t>
      </w:r>
      <w:r>
        <w:rPr>
          <w:sz w:val="28"/>
          <w:szCs w:val="28"/>
        </w:rPr>
        <w:t>25 %);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кредитным потребительским кооперативам – </w:t>
      </w:r>
      <w:r w:rsidR="00F31464">
        <w:rPr>
          <w:sz w:val="28"/>
          <w:szCs w:val="28"/>
        </w:rPr>
        <w:t xml:space="preserve">3 чел. (3,9 % опрошенных респондентов, в 2020 году - </w:t>
      </w:r>
      <w:r>
        <w:rPr>
          <w:sz w:val="28"/>
          <w:szCs w:val="28"/>
        </w:rPr>
        <w:t>20 %);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ломбардам – </w:t>
      </w:r>
      <w:r w:rsidR="00F31464">
        <w:rPr>
          <w:sz w:val="28"/>
          <w:szCs w:val="28"/>
        </w:rPr>
        <w:t xml:space="preserve">0 чел. (0 % опрошенных респондентов, в 2020 году - </w:t>
      </w:r>
      <w:r>
        <w:rPr>
          <w:sz w:val="28"/>
          <w:szCs w:val="28"/>
        </w:rPr>
        <w:t>20 %);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субъектам страхового дела – </w:t>
      </w:r>
      <w:r w:rsidR="00F31464">
        <w:rPr>
          <w:sz w:val="28"/>
          <w:szCs w:val="28"/>
        </w:rPr>
        <w:t xml:space="preserve">3 чел. (3,9 % опрошенных респондентов, в 2020 году - </w:t>
      </w:r>
      <w:r>
        <w:rPr>
          <w:sz w:val="28"/>
          <w:szCs w:val="28"/>
        </w:rPr>
        <w:t>20 %);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сельскохозяйственным потребительским кооперативам – </w:t>
      </w:r>
      <w:r w:rsidR="00F31464">
        <w:rPr>
          <w:sz w:val="28"/>
          <w:szCs w:val="28"/>
        </w:rPr>
        <w:t xml:space="preserve">1 чел. (1,3 % опрошенных респондентов, в 2020 году - </w:t>
      </w:r>
      <w:r>
        <w:rPr>
          <w:sz w:val="28"/>
          <w:szCs w:val="28"/>
        </w:rPr>
        <w:t>5 %);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 негосударственным пенсионным фондам – </w:t>
      </w:r>
      <w:r w:rsidR="00F31464">
        <w:rPr>
          <w:sz w:val="28"/>
          <w:szCs w:val="28"/>
        </w:rPr>
        <w:t xml:space="preserve">11 чел. (14,3 % опрошенных респондентов, в 2020 году - </w:t>
      </w:r>
      <w:r>
        <w:rPr>
          <w:sz w:val="28"/>
          <w:szCs w:val="28"/>
        </w:rPr>
        <w:t>15 %);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брокерским структурам – </w:t>
      </w:r>
      <w:r w:rsidR="00985890">
        <w:rPr>
          <w:sz w:val="28"/>
          <w:szCs w:val="28"/>
        </w:rPr>
        <w:t>0</w:t>
      </w:r>
      <w:r w:rsidR="00F31464">
        <w:rPr>
          <w:sz w:val="28"/>
          <w:szCs w:val="28"/>
        </w:rPr>
        <w:t xml:space="preserve"> чел. (</w:t>
      </w:r>
      <w:r w:rsidR="00985890">
        <w:rPr>
          <w:sz w:val="28"/>
          <w:szCs w:val="28"/>
        </w:rPr>
        <w:t>0</w:t>
      </w:r>
      <w:r w:rsidR="00F31464">
        <w:rPr>
          <w:sz w:val="28"/>
          <w:szCs w:val="28"/>
        </w:rPr>
        <w:t xml:space="preserve"> % опрошенных респондентов, в 2020 году - </w:t>
      </w:r>
      <w:r>
        <w:rPr>
          <w:sz w:val="28"/>
          <w:szCs w:val="28"/>
        </w:rPr>
        <w:t>5 %)</w:t>
      </w:r>
      <w:r w:rsidR="00CF4EAF">
        <w:rPr>
          <w:sz w:val="28"/>
          <w:szCs w:val="28"/>
        </w:rPr>
        <w:t xml:space="preserve"> (Рис. </w:t>
      </w:r>
      <w:r w:rsidR="00523C46">
        <w:rPr>
          <w:sz w:val="28"/>
          <w:szCs w:val="28"/>
        </w:rPr>
        <w:t>3.</w:t>
      </w:r>
      <w:r w:rsidR="00CF4EAF">
        <w:rPr>
          <w:sz w:val="28"/>
          <w:szCs w:val="28"/>
        </w:rPr>
        <w:t>16)</w:t>
      </w:r>
      <w:r>
        <w:rPr>
          <w:sz w:val="28"/>
          <w:szCs w:val="28"/>
        </w:rPr>
        <w:t>.</w:t>
      </w:r>
    </w:p>
    <w:p w:rsidR="00CF4EAF" w:rsidRDefault="00CF4EAF" w:rsidP="00CF4EA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62F7F" wp14:editId="41B8F3DA">
            <wp:extent cx="6057900" cy="3084394"/>
            <wp:effectExtent l="0" t="0" r="0" b="0"/>
            <wp:docPr id="27" name="Диаграм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4EAF" w:rsidRPr="00CF4EAF" w:rsidRDefault="00CF4EAF" w:rsidP="00CF4EAF">
      <w:pPr>
        <w:ind w:firstLine="567"/>
        <w:contextualSpacing/>
        <w:jc w:val="center"/>
      </w:pPr>
      <w:r w:rsidRPr="00CF4EAF">
        <w:t xml:space="preserve">Рис. </w:t>
      </w:r>
      <w:r w:rsidR="00523C46">
        <w:t>3.</w:t>
      </w:r>
      <w:r w:rsidRPr="00CF4EAF">
        <w:t>1</w:t>
      </w:r>
      <w:r>
        <w:t>6</w:t>
      </w:r>
      <w:r w:rsidRPr="00CF4EAF">
        <w:t xml:space="preserve">. Уровень </w:t>
      </w:r>
      <w:r>
        <w:t>не</w:t>
      </w:r>
      <w:r w:rsidRPr="00CF4EAF">
        <w:t>доверия населения к финансовым организациям, % опрошенных.</w:t>
      </w:r>
    </w:p>
    <w:p w:rsidR="003E3788" w:rsidRDefault="003E3788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8D315C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отношение населения к финансовым продуктам различных финансовых организаций </w:t>
      </w:r>
      <w:r w:rsidR="0072073D">
        <w:rPr>
          <w:sz w:val="28"/>
          <w:szCs w:val="28"/>
        </w:rPr>
        <w:t xml:space="preserve">(приложение 3.2.) </w:t>
      </w:r>
      <w:r>
        <w:rPr>
          <w:sz w:val="28"/>
          <w:szCs w:val="28"/>
        </w:rPr>
        <w:t>видим, что за последний год увеличилась удовлетворенность населения такими финансовыми продуктами, как:</w:t>
      </w:r>
    </w:p>
    <w:p w:rsidR="008D315C" w:rsidRDefault="008D315C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кредиты банков – с 30 % в 2020 году до 44,1 % в 2021 году;</w:t>
      </w:r>
    </w:p>
    <w:p w:rsidR="008D315C" w:rsidRDefault="008D315C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вклады в банках – с 50,0 % в 2020 году до 66,2 % в 2021 году;</w:t>
      </w:r>
    </w:p>
    <w:p w:rsidR="008D315C" w:rsidRDefault="008D315C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займы в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организациях – с 0 % в 2020 году до 9,1 % в 2021 году;</w:t>
      </w:r>
    </w:p>
    <w:p w:rsidR="003E3788" w:rsidRDefault="008D315C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788">
        <w:rPr>
          <w:sz w:val="28"/>
          <w:szCs w:val="28"/>
        </w:rPr>
        <w:t xml:space="preserve">вклады в </w:t>
      </w:r>
      <w:proofErr w:type="spellStart"/>
      <w:r w:rsidR="003E3788">
        <w:rPr>
          <w:sz w:val="28"/>
          <w:szCs w:val="28"/>
        </w:rPr>
        <w:t>микрофинансовых</w:t>
      </w:r>
      <w:proofErr w:type="spellEnd"/>
      <w:r w:rsidR="003E3788">
        <w:rPr>
          <w:sz w:val="28"/>
          <w:szCs w:val="28"/>
        </w:rPr>
        <w:t xml:space="preserve"> организациях - с 0 % в 2020 году до 9,1 %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займы в кредитных потребительских кооперативах - с 0 % в 2020 году до 7,8 %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вклады в кредитных потребительских кооперативах - с 0 % в 2020 году до 2,6 %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добровольное страхование жизни – с 5,0 % в 2020 году до 14,3 %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другое добровольное страхование - с 0,0 % в 2020 году до 14,3 %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медицинское страхование - с 0,0 % в 2020 году до 44,1 %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E3788">
        <w:rPr>
          <w:sz w:val="28"/>
          <w:szCs w:val="28"/>
        </w:rPr>
        <w:t>аймы в сельскохозяйственных кредитных потребительских кооперативах</w:t>
      </w:r>
      <w:r>
        <w:rPr>
          <w:sz w:val="28"/>
          <w:szCs w:val="28"/>
        </w:rPr>
        <w:t xml:space="preserve"> - с 0,0 % в 2020 году до 1,3 %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вклады</w:t>
      </w:r>
      <w:r w:rsidRPr="003E3788">
        <w:rPr>
          <w:sz w:val="28"/>
          <w:szCs w:val="28"/>
        </w:rPr>
        <w:t xml:space="preserve"> в сельскохозяйственных кредитных потребительских кооперативах</w:t>
      </w:r>
      <w:r>
        <w:rPr>
          <w:sz w:val="28"/>
          <w:szCs w:val="28"/>
        </w:rPr>
        <w:t xml:space="preserve"> - с 0,0 % в 2020 году до 7,8 %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пенсионное страхование - с 0,0 % в 2020 году до 10,4 %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E3788">
        <w:rPr>
          <w:sz w:val="28"/>
          <w:szCs w:val="28"/>
        </w:rPr>
        <w:t>егосударственное пенсионное обеспечение</w:t>
      </w:r>
      <w:r>
        <w:rPr>
          <w:sz w:val="28"/>
          <w:szCs w:val="28"/>
        </w:rPr>
        <w:t xml:space="preserve"> - с 0,0 % в 2020 году до 10,4 % в 2021 году;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E3788">
        <w:rPr>
          <w:sz w:val="28"/>
          <w:szCs w:val="28"/>
        </w:rPr>
        <w:t>ндивидуальные инвестиционные счета</w:t>
      </w:r>
      <w:r>
        <w:rPr>
          <w:sz w:val="28"/>
          <w:szCs w:val="28"/>
        </w:rPr>
        <w:t xml:space="preserve"> - с 0,0 % в 2020 году до 29,9 % в 2021 году.</w:t>
      </w:r>
    </w:p>
    <w:p w:rsidR="003E3788" w:rsidRDefault="003E3788" w:rsidP="003E3788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зрениям территориальной доступности для населения финансовых организаций, их количества и удобства расположения мнения разделились следующим образом</w:t>
      </w:r>
      <w:r w:rsidR="00226FB0">
        <w:rPr>
          <w:sz w:val="28"/>
          <w:szCs w:val="28"/>
        </w:rPr>
        <w:t xml:space="preserve"> (приложение 3.3)</w:t>
      </w:r>
      <w:bookmarkStart w:id="0" w:name="_GoBack"/>
      <w:bookmarkEnd w:id="0"/>
      <w:r>
        <w:rPr>
          <w:sz w:val="28"/>
          <w:szCs w:val="28"/>
        </w:rPr>
        <w:t>:</w:t>
      </w:r>
    </w:p>
    <w:p w:rsidR="00A73B35" w:rsidRPr="0079720E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79720E">
        <w:rPr>
          <w:sz w:val="28"/>
          <w:szCs w:val="28"/>
        </w:rPr>
        <w:t xml:space="preserve">Количеством и удобством расположения банковских отделений удовлетворены </w:t>
      </w:r>
      <w:proofErr w:type="gramStart"/>
      <w:r w:rsidR="008B03FF">
        <w:rPr>
          <w:sz w:val="28"/>
          <w:szCs w:val="28"/>
        </w:rPr>
        <w:t>43</w:t>
      </w:r>
      <w:r w:rsidRPr="0079720E">
        <w:rPr>
          <w:sz w:val="28"/>
          <w:szCs w:val="28"/>
        </w:rPr>
        <w:t xml:space="preserve">  чел.</w:t>
      </w:r>
      <w:proofErr w:type="gramEnd"/>
      <w:r w:rsidRPr="0079720E">
        <w:rPr>
          <w:sz w:val="28"/>
          <w:szCs w:val="28"/>
        </w:rPr>
        <w:t xml:space="preserve"> (</w:t>
      </w:r>
      <w:r w:rsidR="008B03FF">
        <w:rPr>
          <w:sz w:val="28"/>
          <w:szCs w:val="28"/>
        </w:rPr>
        <w:t>55,8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>, в 2020 году – 45,0 % опрошенных респондентов</w:t>
      </w:r>
      <w:r w:rsidRPr="0079720E">
        <w:rPr>
          <w:sz w:val="28"/>
          <w:szCs w:val="28"/>
        </w:rPr>
        <w:t xml:space="preserve">), не удовлетворены </w:t>
      </w:r>
      <w:r w:rsidR="008B03FF">
        <w:rPr>
          <w:sz w:val="28"/>
          <w:szCs w:val="28"/>
        </w:rPr>
        <w:t>26</w:t>
      </w:r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>33,7 % опрошенных респондентов, в 2020 году -</w:t>
      </w:r>
      <w:r w:rsidRPr="0079720E">
        <w:rPr>
          <w:sz w:val="28"/>
          <w:szCs w:val="28"/>
        </w:rPr>
        <w:t>55 % опрошенных респондентов)</w:t>
      </w:r>
      <w:r w:rsidR="008B03FF">
        <w:rPr>
          <w:sz w:val="28"/>
          <w:szCs w:val="28"/>
        </w:rPr>
        <w:t>, затруднились с ответом – 8 чел. (10,4 % опрошенных респондентов, в 2020 году – 0 % респондентов)</w:t>
      </w:r>
      <w:r w:rsidRPr="0079720E">
        <w:rPr>
          <w:sz w:val="28"/>
          <w:szCs w:val="28"/>
        </w:rPr>
        <w:t>.</w:t>
      </w:r>
    </w:p>
    <w:p w:rsidR="00A73B35" w:rsidRPr="0079720E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79720E">
        <w:rPr>
          <w:sz w:val="28"/>
          <w:szCs w:val="28"/>
        </w:rPr>
        <w:t xml:space="preserve">Количеством и удобством расположения </w:t>
      </w:r>
      <w:proofErr w:type="spellStart"/>
      <w:r w:rsidRPr="0079720E">
        <w:rPr>
          <w:sz w:val="28"/>
          <w:szCs w:val="28"/>
        </w:rPr>
        <w:t>микрофинансовых</w:t>
      </w:r>
      <w:proofErr w:type="spellEnd"/>
      <w:r w:rsidRPr="0079720E">
        <w:rPr>
          <w:sz w:val="28"/>
          <w:szCs w:val="28"/>
        </w:rPr>
        <w:t xml:space="preserve"> организаций, ломбардов, кредитных потребительских кооперативов и сельскохозяйственных кредитных потребительских кооперативов </w:t>
      </w:r>
      <w:proofErr w:type="gramStart"/>
      <w:r w:rsidRPr="0079720E">
        <w:rPr>
          <w:sz w:val="28"/>
          <w:szCs w:val="28"/>
        </w:rPr>
        <w:t xml:space="preserve">удовлетворены  </w:t>
      </w:r>
      <w:r w:rsidR="008B03FF">
        <w:rPr>
          <w:sz w:val="28"/>
          <w:szCs w:val="28"/>
        </w:rPr>
        <w:t>9</w:t>
      </w:r>
      <w:proofErr w:type="gramEnd"/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>11,7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>, в 2020 году – 5,0 % опрошенных респондентов</w:t>
      </w:r>
      <w:r w:rsidRPr="0079720E">
        <w:rPr>
          <w:sz w:val="28"/>
          <w:szCs w:val="28"/>
        </w:rPr>
        <w:t xml:space="preserve">), не удовлетворены </w:t>
      </w:r>
      <w:r w:rsidR="008B03FF">
        <w:rPr>
          <w:sz w:val="28"/>
          <w:szCs w:val="28"/>
        </w:rPr>
        <w:t>3</w:t>
      </w:r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 xml:space="preserve">3,9 % опрошенных респондентов, в 2020 году - </w:t>
      </w:r>
      <w:r w:rsidRPr="0079720E">
        <w:rPr>
          <w:sz w:val="28"/>
          <w:szCs w:val="28"/>
        </w:rPr>
        <w:t xml:space="preserve">10 % опрошенных респондентов), затруднились с ответом </w:t>
      </w:r>
      <w:r w:rsidR="008B03FF">
        <w:rPr>
          <w:sz w:val="28"/>
          <w:szCs w:val="28"/>
        </w:rPr>
        <w:t>65</w:t>
      </w:r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 xml:space="preserve">84,4 </w:t>
      </w:r>
      <w:r w:rsidR="008B03FF" w:rsidRPr="0079720E">
        <w:rPr>
          <w:sz w:val="28"/>
          <w:szCs w:val="28"/>
        </w:rPr>
        <w:t>% опрошенных респондентов</w:t>
      </w:r>
      <w:r w:rsidR="008B03FF">
        <w:rPr>
          <w:sz w:val="28"/>
          <w:szCs w:val="28"/>
        </w:rPr>
        <w:t xml:space="preserve">, в 2020 году - </w:t>
      </w:r>
      <w:r w:rsidRPr="0079720E">
        <w:rPr>
          <w:sz w:val="28"/>
          <w:szCs w:val="28"/>
        </w:rPr>
        <w:t>85 % опрошенных респондентов).</w:t>
      </w:r>
    </w:p>
    <w:p w:rsidR="00A73B35" w:rsidRPr="0079720E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79720E">
        <w:rPr>
          <w:sz w:val="28"/>
          <w:szCs w:val="28"/>
        </w:rPr>
        <w:t xml:space="preserve">Количеством и удобством расположения субъектов страхового дела удовлетворены </w:t>
      </w:r>
      <w:proofErr w:type="gramStart"/>
      <w:r w:rsidR="008B03FF">
        <w:rPr>
          <w:sz w:val="28"/>
          <w:szCs w:val="28"/>
        </w:rPr>
        <w:t>39</w:t>
      </w:r>
      <w:r w:rsidRPr="0079720E">
        <w:rPr>
          <w:sz w:val="28"/>
          <w:szCs w:val="28"/>
        </w:rPr>
        <w:t xml:space="preserve">  чел.</w:t>
      </w:r>
      <w:proofErr w:type="gramEnd"/>
      <w:r w:rsidRPr="0079720E">
        <w:rPr>
          <w:sz w:val="28"/>
          <w:szCs w:val="28"/>
        </w:rPr>
        <w:t xml:space="preserve"> (</w:t>
      </w:r>
      <w:r w:rsidR="008B03FF">
        <w:rPr>
          <w:sz w:val="28"/>
          <w:szCs w:val="28"/>
        </w:rPr>
        <w:t>50,6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 xml:space="preserve">, в 2020 году - </w:t>
      </w:r>
      <w:r w:rsidR="008B03FF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 xml:space="preserve">), не удовлетворены </w:t>
      </w:r>
      <w:r w:rsidR="008B03FF">
        <w:rPr>
          <w:sz w:val="28"/>
          <w:szCs w:val="28"/>
        </w:rPr>
        <w:t>7</w:t>
      </w:r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>9,1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>, в 2020 году - 10</w:t>
      </w:r>
      <w:r w:rsidR="008B03FF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 xml:space="preserve">), затруднились с ответом </w:t>
      </w:r>
      <w:r w:rsidR="008B03FF">
        <w:rPr>
          <w:sz w:val="28"/>
          <w:szCs w:val="28"/>
        </w:rPr>
        <w:t>31</w:t>
      </w:r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>40,3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 xml:space="preserve">, в 2020 году - </w:t>
      </w:r>
      <w:r w:rsidR="008B03FF" w:rsidRPr="0079720E">
        <w:rPr>
          <w:sz w:val="28"/>
          <w:szCs w:val="28"/>
        </w:rPr>
        <w:t>85 % опрошенных респондентов</w:t>
      </w:r>
      <w:r w:rsidRPr="0079720E">
        <w:rPr>
          <w:sz w:val="28"/>
          <w:szCs w:val="28"/>
        </w:rPr>
        <w:t>).</w:t>
      </w:r>
    </w:p>
    <w:p w:rsidR="00A73B35" w:rsidRPr="0079720E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79720E">
        <w:rPr>
          <w:sz w:val="28"/>
          <w:szCs w:val="28"/>
        </w:rPr>
        <w:t xml:space="preserve">Количеством и удобством расположения негосударственных пенсионных фондов удовлетворены </w:t>
      </w:r>
      <w:proofErr w:type="gramStart"/>
      <w:r w:rsidR="008B03FF">
        <w:rPr>
          <w:sz w:val="28"/>
          <w:szCs w:val="28"/>
        </w:rPr>
        <w:t>14</w:t>
      </w:r>
      <w:r w:rsidRPr="0079720E">
        <w:rPr>
          <w:sz w:val="28"/>
          <w:szCs w:val="28"/>
        </w:rPr>
        <w:t xml:space="preserve">  чел.</w:t>
      </w:r>
      <w:proofErr w:type="gramEnd"/>
      <w:r w:rsidRPr="0079720E">
        <w:rPr>
          <w:sz w:val="28"/>
          <w:szCs w:val="28"/>
        </w:rPr>
        <w:t xml:space="preserve"> (</w:t>
      </w:r>
      <w:r w:rsidR="008B03FF">
        <w:rPr>
          <w:sz w:val="28"/>
          <w:szCs w:val="28"/>
        </w:rPr>
        <w:t>18,2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>, в 2020 году - 1</w:t>
      </w:r>
      <w:r w:rsidR="008B03FF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 xml:space="preserve">), не удовлетворены </w:t>
      </w:r>
      <w:r w:rsidR="008B03FF">
        <w:rPr>
          <w:sz w:val="28"/>
          <w:szCs w:val="28"/>
        </w:rPr>
        <w:t>6</w:t>
      </w:r>
      <w:r w:rsidRPr="0079720E">
        <w:rPr>
          <w:sz w:val="28"/>
          <w:szCs w:val="28"/>
        </w:rPr>
        <w:t xml:space="preserve"> чел. (15 % опрошенных респондентов), затруднились с ответом 14 чел. (</w:t>
      </w:r>
      <w:r w:rsidR="008B03FF">
        <w:rPr>
          <w:sz w:val="28"/>
          <w:szCs w:val="28"/>
        </w:rPr>
        <w:t>7,8</w:t>
      </w:r>
      <w:r w:rsidRPr="0079720E">
        <w:rPr>
          <w:sz w:val="28"/>
          <w:szCs w:val="28"/>
        </w:rPr>
        <w:t xml:space="preserve"> % опрошенных </w:t>
      </w:r>
      <w:r w:rsidRPr="0079720E">
        <w:rPr>
          <w:sz w:val="28"/>
          <w:szCs w:val="28"/>
        </w:rPr>
        <w:lastRenderedPageBreak/>
        <w:t>респондентов</w:t>
      </w:r>
      <w:r w:rsidR="008B03FF">
        <w:rPr>
          <w:sz w:val="28"/>
          <w:szCs w:val="28"/>
        </w:rPr>
        <w:t>, в 2020 году - 1</w:t>
      </w:r>
      <w:r w:rsidR="008B03FF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 w:rsidR="008B03FF">
        <w:rPr>
          <w:sz w:val="28"/>
          <w:szCs w:val="28"/>
        </w:rPr>
        <w:t>, затруднились с ответом – 57 чел. (74,0 % опрошенных респондентов, в 2020 году - 70</w:t>
      </w:r>
      <w:r w:rsidR="008B03FF"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>)</w:t>
      </w:r>
      <w:r w:rsidRPr="0079720E">
        <w:rPr>
          <w:sz w:val="28"/>
          <w:szCs w:val="28"/>
        </w:rPr>
        <w:t>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79720E">
        <w:rPr>
          <w:sz w:val="28"/>
          <w:szCs w:val="28"/>
        </w:rPr>
        <w:t xml:space="preserve">Количеством и удобством расположения брокеров удовлетворены </w:t>
      </w:r>
      <w:proofErr w:type="gramStart"/>
      <w:r w:rsidRPr="0079720E">
        <w:rPr>
          <w:sz w:val="28"/>
          <w:szCs w:val="28"/>
        </w:rPr>
        <w:t>0  чел.</w:t>
      </w:r>
      <w:proofErr w:type="gramEnd"/>
      <w:r w:rsidRPr="0079720E">
        <w:rPr>
          <w:sz w:val="28"/>
          <w:szCs w:val="28"/>
        </w:rPr>
        <w:t xml:space="preserve"> (0 % опрошенных респондентов</w:t>
      </w:r>
      <w:r w:rsidR="008B03FF">
        <w:rPr>
          <w:sz w:val="28"/>
          <w:szCs w:val="28"/>
        </w:rPr>
        <w:t>, в 2020 году - 0</w:t>
      </w:r>
      <w:r w:rsidR="008B03FF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 xml:space="preserve">), не удовлетворены </w:t>
      </w:r>
      <w:r w:rsidR="008B03FF">
        <w:rPr>
          <w:sz w:val="28"/>
          <w:szCs w:val="28"/>
        </w:rPr>
        <w:t>0</w:t>
      </w:r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>0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 xml:space="preserve">, в 2020 году - </w:t>
      </w:r>
      <w:r w:rsidR="008B03FF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 xml:space="preserve">), затруднились с ответом </w:t>
      </w:r>
      <w:r w:rsidR="008B03FF">
        <w:rPr>
          <w:sz w:val="28"/>
          <w:szCs w:val="28"/>
        </w:rPr>
        <w:t>77</w:t>
      </w:r>
      <w:r w:rsidRPr="0079720E">
        <w:rPr>
          <w:sz w:val="28"/>
          <w:szCs w:val="28"/>
        </w:rPr>
        <w:t xml:space="preserve"> чел. (</w:t>
      </w:r>
      <w:r w:rsidR="008B03FF">
        <w:rPr>
          <w:sz w:val="28"/>
          <w:szCs w:val="28"/>
        </w:rPr>
        <w:t>100</w:t>
      </w:r>
      <w:r w:rsidRPr="0079720E">
        <w:rPr>
          <w:sz w:val="28"/>
          <w:szCs w:val="28"/>
        </w:rPr>
        <w:t xml:space="preserve"> % опрошенных респондентов</w:t>
      </w:r>
      <w:r w:rsidR="008B03FF">
        <w:rPr>
          <w:sz w:val="28"/>
          <w:szCs w:val="28"/>
        </w:rPr>
        <w:t>, в 2020 году - 9</w:t>
      </w:r>
      <w:r w:rsidR="008B03FF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Возможностью выбора банковских структур удовлетворены </w:t>
      </w:r>
      <w:r w:rsidR="006E2A71">
        <w:rPr>
          <w:sz w:val="28"/>
          <w:szCs w:val="28"/>
        </w:rPr>
        <w:t>39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50,6</w:t>
      </w:r>
      <w:r>
        <w:rPr>
          <w:sz w:val="28"/>
          <w:szCs w:val="28"/>
        </w:rPr>
        <w:t xml:space="preserve"> %</w:t>
      </w:r>
      <w:r w:rsidRPr="002273FE">
        <w:rPr>
          <w:sz w:val="28"/>
          <w:szCs w:val="28"/>
        </w:rPr>
        <w:t xml:space="preserve">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- 20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 w:rsidR="006E2A71">
        <w:rPr>
          <w:sz w:val="28"/>
          <w:szCs w:val="28"/>
        </w:rPr>
        <w:t>, не удовлетворены – 17</w:t>
      </w:r>
      <w:r>
        <w:rPr>
          <w:sz w:val="28"/>
          <w:szCs w:val="28"/>
        </w:rPr>
        <w:t xml:space="preserve"> чел.</w:t>
      </w:r>
      <w:r w:rsidR="006E2A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2A71">
        <w:rPr>
          <w:sz w:val="28"/>
          <w:szCs w:val="28"/>
        </w:rPr>
        <w:t>22,1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- 70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 xml:space="preserve">, затруднились с ответом – </w:t>
      </w:r>
      <w:r w:rsidR="006E2A71">
        <w:rPr>
          <w:sz w:val="28"/>
          <w:szCs w:val="28"/>
        </w:rPr>
        <w:t>21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27,3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- 10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Возможностью </w:t>
      </w:r>
      <w:r w:rsidRPr="002273FE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2273FE">
        <w:rPr>
          <w:sz w:val="28"/>
          <w:szCs w:val="28"/>
        </w:rPr>
        <w:t xml:space="preserve"> различных </w:t>
      </w:r>
      <w:proofErr w:type="spellStart"/>
      <w:r w:rsidRPr="002273FE">
        <w:rPr>
          <w:sz w:val="28"/>
          <w:szCs w:val="28"/>
        </w:rPr>
        <w:t>микрофинансовых</w:t>
      </w:r>
      <w:proofErr w:type="spellEnd"/>
      <w:r w:rsidRPr="002273FE">
        <w:rPr>
          <w:sz w:val="28"/>
          <w:szCs w:val="28"/>
        </w:rPr>
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w:t>
      </w:r>
      <w:r>
        <w:rPr>
          <w:sz w:val="28"/>
          <w:szCs w:val="28"/>
        </w:rPr>
        <w:t xml:space="preserve"> удовлетворены </w:t>
      </w:r>
      <w:r w:rsidR="006E2A71">
        <w:rPr>
          <w:sz w:val="28"/>
          <w:szCs w:val="28"/>
        </w:rPr>
        <w:t>9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11,7</w:t>
      </w:r>
      <w:r>
        <w:rPr>
          <w:sz w:val="28"/>
          <w:szCs w:val="28"/>
        </w:rPr>
        <w:t xml:space="preserve"> %</w:t>
      </w:r>
      <w:r w:rsidRPr="002273FE">
        <w:rPr>
          <w:sz w:val="28"/>
          <w:szCs w:val="28"/>
        </w:rPr>
        <w:t xml:space="preserve">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 xml:space="preserve">, в 2020 году - </w:t>
      </w:r>
      <w:r w:rsidR="006E2A71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, не удовлетворены – 3 чел.</w:t>
      </w:r>
      <w:r w:rsidR="006E2A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2A71">
        <w:rPr>
          <w:sz w:val="28"/>
          <w:szCs w:val="28"/>
        </w:rPr>
        <w:t>3,9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- 15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 w:rsidR="006E2A71">
        <w:rPr>
          <w:sz w:val="28"/>
          <w:szCs w:val="28"/>
        </w:rPr>
        <w:t xml:space="preserve">, затруднились с ответом – </w:t>
      </w:r>
      <w:r>
        <w:rPr>
          <w:sz w:val="28"/>
          <w:szCs w:val="28"/>
        </w:rPr>
        <w:t>6</w:t>
      </w:r>
      <w:r w:rsidR="006E2A71">
        <w:rPr>
          <w:sz w:val="28"/>
          <w:szCs w:val="28"/>
        </w:rPr>
        <w:t>5</w:t>
      </w:r>
      <w:r>
        <w:rPr>
          <w:sz w:val="28"/>
          <w:szCs w:val="28"/>
        </w:rPr>
        <w:t xml:space="preserve"> чел. (8</w:t>
      </w:r>
      <w:r w:rsidR="006E2A71">
        <w:rPr>
          <w:sz w:val="28"/>
          <w:szCs w:val="28"/>
        </w:rPr>
        <w:t>4,4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 xml:space="preserve">, в 2020 году - </w:t>
      </w:r>
      <w:r w:rsidR="006E2A71" w:rsidRPr="0079720E">
        <w:rPr>
          <w:sz w:val="28"/>
          <w:szCs w:val="28"/>
        </w:rPr>
        <w:t>8</w:t>
      </w:r>
      <w:r w:rsidR="006E2A71">
        <w:rPr>
          <w:sz w:val="28"/>
          <w:szCs w:val="28"/>
        </w:rPr>
        <w:t>0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3B35" w:rsidRPr="0079720E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Возможностью </w:t>
      </w:r>
      <w:r w:rsidRPr="002273FE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2273FE">
        <w:rPr>
          <w:sz w:val="28"/>
          <w:szCs w:val="28"/>
        </w:rPr>
        <w:t xml:space="preserve"> различных субъектов страхового дела</w:t>
      </w:r>
      <w:r w:rsidRPr="009D7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удовлетворены </w:t>
      </w:r>
      <w:r w:rsidR="006E2A71">
        <w:rPr>
          <w:sz w:val="28"/>
          <w:szCs w:val="28"/>
        </w:rPr>
        <w:t>39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50,6</w:t>
      </w:r>
      <w:r>
        <w:rPr>
          <w:sz w:val="28"/>
          <w:szCs w:val="28"/>
        </w:rPr>
        <w:t xml:space="preserve"> %</w:t>
      </w:r>
      <w:r w:rsidRPr="002273FE">
        <w:rPr>
          <w:sz w:val="28"/>
          <w:szCs w:val="28"/>
        </w:rPr>
        <w:t xml:space="preserve">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 xml:space="preserve">, в 2020 году - </w:t>
      </w:r>
      <w:r w:rsidR="006E2A71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 xml:space="preserve">, не удовлетворены – </w:t>
      </w:r>
      <w:r w:rsidR="006E2A71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  <w:r w:rsidR="006E2A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2A71">
        <w:rPr>
          <w:sz w:val="28"/>
          <w:szCs w:val="28"/>
        </w:rPr>
        <w:t>77,1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- 1</w:t>
      </w:r>
      <w:r w:rsidR="006E2A71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 xml:space="preserve">, затруднились с ответом – </w:t>
      </w:r>
      <w:r w:rsidR="006E2A71">
        <w:rPr>
          <w:sz w:val="28"/>
          <w:szCs w:val="28"/>
        </w:rPr>
        <w:t>29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37,7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 xml:space="preserve">, в 2020 году - </w:t>
      </w:r>
      <w:r w:rsidR="006E2A71" w:rsidRPr="0079720E">
        <w:rPr>
          <w:sz w:val="28"/>
          <w:szCs w:val="28"/>
        </w:rPr>
        <w:t>8</w:t>
      </w:r>
      <w:r w:rsidR="006E2A71">
        <w:rPr>
          <w:sz w:val="28"/>
          <w:szCs w:val="28"/>
        </w:rPr>
        <w:t>0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3B35" w:rsidRPr="0079720E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9D7C4E">
        <w:rPr>
          <w:sz w:val="28"/>
          <w:szCs w:val="28"/>
        </w:rPr>
        <w:t xml:space="preserve">Возможностью выбора различных негосударственных пенсионных фондов для получения необходимых услуг </w:t>
      </w:r>
      <w:r>
        <w:rPr>
          <w:sz w:val="28"/>
          <w:szCs w:val="28"/>
        </w:rPr>
        <w:t xml:space="preserve">удовлетворены </w:t>
      </w:r>
      <w:r w:rsidR="006E2A71">
        <w:rPr>
          <w:sz w:val="28"/>
          <w:szCs w:val="28"/>
        </w:rPr>
        <w:t>16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20,8</w:t>
      </w:r>
      <w:r>
        <w:rPr>
          <w:sz w:val="28"/>
          <w:szCs w:val="28"/>
        </w:rPr>
        <w:t xml:space="preserve"> %</w:t>
      </w:r>
      <w:r w:rsidRPr="002273FE">
        <w:rPr>
          <w:sz w:val="28"/>
          <w:szCs w:val="28"/>
        </w:rPr>
        <w:t xml:space="preserve">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 xml:space="preserve">, в 2020 году - </w:t>
      </w:r>
      <w:r w:rsidR="006E2A71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, не удовлетворены – 4 чел.</w:t>
      </w:r>
      <w:r w:rsidR="006E2A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2A71">
        <w:rPr>
          <w:sz w:val="28"/>
          <w:szCs w:val="28"/>
        </w:rPr>
        <w:t>5,2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- 20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 xml:space="preserve">, затруднились с ответом – </w:t>
      </w:r>
      <w:r w:rsidR="006E2A71">
        <w:rPr>
          <w:sz w:val="28"/>
          <w:szCs w:val="28"/>
        </w:rPr>
        <w:t>57</w:t>
      </w:r>
      <w:r>
        <w:rPr>
          <w:sz w:val="28"/>
          <w:szCs w:val="28"/>
        </w:rPr>
        <w:t xml:space="preserve"> чел. (7</w:t>
      </w:r>
      <w:r w:rsidR="006E2A71">
        <w:rPr>
          <w:sz w:val="28"/>
          <w:szCs w:val="28"/>
        </w:rPr>
        <w:t>4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- 7</w:t>
      </w:r>
      <w:r w:rsidR="006E2A71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Возможностью </w:t>
      </w:r>
      <w:r w:rsidRPr="009D7C4E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9D7C4E">
        <w:rPr>
          <w:sz w:val="28"/>
          <w:szCs w:val="28"/>
        </w:rPr>
        <w:t xml:space="preserve"> различных брокеров для получения необходимых брокерских услуг </w:t>
      </w:r>
      <w:r>
        <w:rPr>
          <w:sz w:val="28"/>
          <w:szCs w:val="28"/>
        </w:rPr>
        <w:t xml:space="preserve">удовлетворены </w:t>
      </w:r>
      <w:r w:rsidR="006E2A71">
        <w:rPr>
          <w:sz w:val="28"/>
          <w:szCs w:val="28"/>
        </w:rPr>
        <w:t>0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2273FE">
        <w:rPr>
          <w:sz w:val="28"/>
          <w:szCs w:val="28"/>
        </w:rPr>
        <w:t xml:space="preserve">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 xml:space="preserve">, в 2020 году - </w:t>
      </w:r>
      <w:r w:rsidR="006E2A71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, не удовлетворены – 0 чел.</w:t>
      </w:r>
      <w:r w:rsidR="006E2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- 0</w:t>
      </w:r>
      <w:r w:rsidR="006E2A71" w:rsidRPr="0079720E">
        <w:rPr>
          <w:sz w:val="28"/>
          <w:szCs w:val="28"/>
        </w:rPr>
        <w:t xml:space="preserve">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 xml:space="preserve">, затруднились с ответом – </w:t>
      </w:r>
      <w:r w:rsidR="006E2A71">
        <w:rPr>
          <w:sz w:val="28"/>
          <w:szCs w:val="28"/>
        </w:rPr>
        <w:t>77</w:t>
      </w:r>
      <w:r>
        <w:rPr>
          <w:sz w:val="28"/>
          <w:szCs w:val="28"/>
        </w:rPr>
        <w:t xml:space="preserve"> чел. (</w:t>
      </w:r>
      <w:r w:rsidR="006E2A71">
        <w:rPr>
          <w:sz w:val="28"/>
          <w:szCs w:val="28"/>
        </w:rPr>
        <w:t>100</w:t>
      </w:r>
      <w:r>
        <w:rPr>
          <w:sz w:val="28"/>
          <w:szCs w:val="28"/>
        </w:rPr>
        <w:t xml:space="preserve"> % </w:t>
      </w:r>
      <w:r w:rsidRPr="0079720E">
        <w:rPr>
          <w:sz w:val="28"/>
          <w:szCs w:val="28"/>
        </w:rPr>
        <w:t>опрошенных респондентов</w:t>
      </w:r>
      <w:r w:rsidR="006E2A71">
        <w:rPr>
          <w:sz w:val="28"/>
          <w:szCs w:val="28"/>
        </w:rPr>
        <w:t>, в 2020 году - 9</w:t>
      </w:r>
      <w:r w:rsidR="006E2A71" w:rsidRPr="0079720E">
        <w:rPr>
          <w:sz w:val="28"/>
          <w:szCs w:val="28"/>
        </w:rPr>
        <w:t>5 % опрошенных респондентов</w:t>
      </w:r>
      <w:r w:rsidRPr="007972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2006" w:rsidRPr="009D7C4E" w:rsidRDefault="00082006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Мониторинг доступности для населения финансовых услуг.</w:t>
      </w:r>
    </w:p>
    <w:p w:rsidR="00A73B35" w:rsidRDefault="00A73B35" w:rsidP="00A73B35">
      <w:pPr>
        <w:ind w:firstLine="567"/>
        <w:contextualSpacing/>
        <w:jc w:val="both"/>
        <w:rPr>
          <w:b/>
          <w:sz w:val="28"/>
          <w:szCs w:val="28"/>
        </w:rPr>
      </w:pPr>
    </w:p>
    <w:p w:rsidR="00A73B35" w:rsidRPr="0098256F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98256F">
        <w:rPr>
          <w:sz w:val="28"/>
          <w:szCs w:val="28"/>
        </w:rPr>
        <w:t>В настоящее время уровень доступности финансовых услуг для населения достаточно высок.</w:t>
      </w:r>
      <w:r>
        <w:rPr>
          <w:sz w:val="28"/>
          <w:szCs w:val="28"/>
        </w:rPr>
        <w:t xml:space="preserve"> Однако для жителей труднодоступных и малонаселенных пунктов, а также для отдельных групп населения, таких как пожилые люди и </w:t>
      </w:r>
      <w:r>
        <w:rPr>
          <w:sz w:val="28"/>
          <w:szCs w:val="28"/>
        </w:rPr>
        <w:lastRenderedPageBreak/>
        <w:t>люди с инвалидностью, существуют определенные трудности в получении финансовых услуг.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 w:rsidRPr="00D35BEC">
        <w:rPr>
          <w:sz w:val="28"/>
          <w:szCs w:val="28"/>
        </w:rPr>
        <w:t>О доступности для населения</w:t>
      </w:r>
      <w:r>
        <w:rPr>
          <w:sz w:val="28"/>
          <w:szCs w:val="28"/>
        </w:rPr>
        <w:t xml:space="preserve"> тех или иных видов финансовых услуг свидетельствуют такие критерии как количество точек доступа (каналов обслуживания) к получению услуги, отдаленность и удобство расположения, легкость и понятность в обращении, а также возможность дистанционного получения услуги.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достаточного количества точек доступа отмечено населением в отношении всех видов и способов обслуживания.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ранжировании от «1» до «5», где «1» означает «практически не доступно», а «5» - «легко доступно», оценки от «3» до «5» по доступности финансовых услуг поставили: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доступность касс в отделениях банка – </w:t>
      </w:r>
      <w:r w:rsidR="006B242D">
        <w:rPr>
          <w:sz w:val="28"/>
          <w:szCs w:val="28"/>
        </w:rPr>
        <w:t>67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87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95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доступность банкоматов и терминалов в отделениях банка – </w:t>
      </w:r>
      <w:r w:rsidR="006B242D">
        <w:rPr>
          <w:sz w:val="28"/>
          <w:szCs w:val="28"/>
        </w:rPr>
        <w:t>62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80,5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>, в 2020 году – 80 % опрощенных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доступность банкоматов и терминалов вне отделений банка – </w:t>
      </w:r>
      <w:r w:rsidR="006B242D">
        <w:rPr>
          <w:sz w:val="28"/>
          <w:szCs w:val="28"/>
        </w:rPr>
        <w:t>61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79,2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>, в 2020 году – 75 % опрощенных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доступность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-терминалов для безналичной оплаты с помощью банковской карты в организациях торговли (услуг) – </w:t>
      </w:r>
      <w:r w:rsidR="006B242D">
        <w:rPr>
          <w:sz w:val="28"/>
          <w:szCs w:val="28"/>
        </w:rPr>
        <w:t>71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 xml:space="preserve">92,2 </w:t>
      </w:r>
      <w:r>
        <w:rPr>
          <w:sz w:val="28"/>
          <w:szCs w:val="28"/>
        </w:rPr>
        <w:t>% опрошенных респондентов</w:t>
      </w:r>
      <w:r w:rsidR="006B242D">
        <w:rPr>
          <w:sz w:val="28"/>
          <w:szCs w:val="28"/>
        </w:rPr>
        <w:t xml:space="preserve">, в 2020 году – 80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и доступность п</w:t>
      </w:r>
      <w:r w:rsidRPr="00D35BEC">
        <w:rPr>
          <w:sz w:val="28"/>
          <w:szCs w:val="28"/>
        </w:rPr>
        <w:t>латежны</w:t>
      </w:r>
      <w:r>
        <w:rPr>
          <w:sz w:val="28"/>
          <w:szCs w:val="28"/>
        </w:rPr>
        <w:t>х</w:t>
      </w:r>
      <w:r w:rsidRPr="00D35BEC">
        <w:rPr>
          <w:sz w:val="28"/>
          <w:szCs w:val="28"/>
        </w:rPr>
        <w:t xml:space="preserve"> терминал</w:t>
      </w:r>
      <w:r>
        <w:rPr>
          <w:sz w:val="28"/>
          <w:szCs w:val="28"/>
        </w:rPr>
        <w:t>ов</w:t>
      </w:r>
      <w:r w:rsidRPr="00D35BEC">
        <w:rPr>
          <w:sz w:val="28"/>
          <w:szCs w:val="28"/>
        </w:rPr>
        <w:t xml:space="preserve"> для приема наличных денежных средств с целью оплаты товаров (услуг)</w:t>
      </w:r>
      <w:r>
        <w:rPr>
          <w:sz w:val="28"/>
          <w:szCs w:val="28"/>
        </w:rPr>
        <w:t xml:space="preserve"> – </w:t>
      </w:r>
      <w:r w:rsidR="006B242D">
        <w:rPr>
          <w:sz w:val="28"/>
          <w:szCs w:val="28"/>
        </w:rPr>
        <w:t>64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83,1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95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доступность отделений почтовой связи - </w:t>
      </w:r>
      <w:r w:rsidR="006B242D">
        <w:rPr>
          <w:sz w:val="28"/>
          <w:szCs w:val="28"/>
        </w:rPr>
        <w:t>72</w:t>
      </w:r>
      <w:r>
        <w:rPr>
          <w:sz w:val="28"/>
          <w:szCs w:val="28"/>
        </w:rPr>
        <w:t xml:space="preserve"> чел. (9</w:t>
      </w:r>
      <w:r w:rsidR="006B242D">
        <w:rPr>
          <w:sz w:val="28"/>
          <w:szCs w:val="28"/>
        </w:rPr>
        <w:t>3,5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95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финансовой доступности является финансовая грамотность населения. Она помогает каждому гражданину, вне зависимости от места проживания, уровня дохода, ограничений здоровья получать необходимые ему финансовые услуги.</w:t>
      </w:r>
    </w:p>
    <w:p w:rsidR="00A73B35" w:rsidRPr="00D35BEC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на территории Советского городского округа достаточного количества точек доступа к финансовым услугам и увеличение уровня финансовой грамотности населения способствуют реализации возможности быстрого доступа к получению финансовых услуг.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ранжировании скорости получения финансовых услуг от «1» до «5», где «1» означает: «на доступ к услуге трачу много времени», а «5» - «могу воспользоваться быстро», оценки от «3» до «5» поставили: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скорости получения услуг в кассах отделений банка – </w:t>
      </w:r>
      <w:r w:rsidR="006B242D">
        <w:rPr>
          <w:sz w:val="28"/>
          <w:szCs w:val="28"/>
        </w:rPr>
        <w:t>60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77,9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80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скорости получения услуг в банкоматах и терминалах отделений банка – </w:t>
      </w:r>
      <w:r w:rsidR="006B242D">
        <w:rPr>
          <w:sz w:val="28"/>
          <w:szCs w:val="28"/>
        </w:rPr>
        <w:t>62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80,5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85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скорости получения услуг в банкоматах и терминалах вне отделений</w:t>
      </w:r>
      <w:r w:rsidR="006B242D">
        <w:rPr>
          <w:sz w:val="28"/>
          <w:szCs w:val="28"/>
        </w:rPr>
        <w:t xml:space="preserve"> банка – 52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67,5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90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скорости получения услуг в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-терминалах для безналичной оплаты с помощью банковской карты в организациях торговли – </w:t>
      </w:r>
      <w:r w:rsidR="006B242D">
        <w:rPr>
          <w:sz w:val="28"/>
          <w:szCs w:val="28"/>
        </w:rPr>
        <w:t>72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93,5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80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скорости получения услуг в п</w:t>
      </w:r>
      <w:r w:rsidRPr="00D35BEC">
        <w:rPr>
          <w:sz w:val="28"/>
          <w:szCs w:val="28"/>
        </w:rPr>
        <w:t>латежны</w:t>
      </w:r>
      <w:r>
        <w:rPr>
          <w:sz w:val="28"/>
          <w:szCs w:val="28"/>
        </w:rPr>
        <w:t>х</w:t>
      </w:r>
      <w:r w:rsidRPr="00D35BEC">
        <w:rPr>
          <w:sz w:val="28"/>
          <w:szCs w:val="28"/>
        </w:rPr>
        <w:t xml:space="preserve"> терминал</w:t>
      </w:r>
      <w:r>
        <w:rPr>
          <w:sz w:val="28"/>
          <w:szCs w:val="28"/>
        </w:rPr>
        <w:t>ах</w:t>
      </w:r>
      <w:r w:rsidRPr="00D35BEC">
        <w:rPr>
          <w:sz w:val="28"/>
          <w:szCs w:val="28"/>
        </w:rPr>
        <w:t xml:space="preserve"> для приема наличных денежных средств </w:t>
      </w:r>
      <w:r>
        <w:rPr>
          <w:sz w:val="28"/>
          <w:szCs w:val="28"/>
        </w:rPr>
        <w:t xml:space="preserve">– </w:t>
      </w:r>
      <w:r w:rsidR="006B242D">
        <w:rPr>
          <w:sz w:val="28"/>
          <w:szCs w:val="28"/>
        </w:rPr>
        <w:t>53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68,8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85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>
        <w:rPr>
          <w:sz w:val="28"/>
          <w:szCs w:val="28"/>
        </w:rPr>
        <w:t>);</w:t>
      </w:r>
    </w:p>
    <w:p w:rsidR="00A73B35" w:rsidRDefault="00A73B35" w:rsidP="00A73B3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скорости получения услуг в отделениях почтовой </w:t>
      </w:r>
      <w:proofErr w:type="gramStart"/>
      <w:r>
        <w:rPr>
          <w:sz w:val="28"/>
          <w:szCs w:val="28"/>
        </w:rPr>
        <w:t>связи  –</w:t>
      </w:r>
      <w:proofErr w:type="gramEnd"/>
      <w:r>
        <w:rPr>
          <w:sz w:val="28"/>
          <w:szCs w:val="28"/>
        </w:rPr>
        <w:t xml:space="preserve"> </w:t>
      </w:r>
      <w:r w:rsidR="006B242D">
        <w:rPr>
          <w:sz w:val="28"/>
          <w:szCs w:val="28"/>
        </w:rPr>
        <w:t>68</w:t>
      </w:r>
      <w:r>
        <w:rPr>
          <w:sz w:val="28"/>
          <w:szCs w:val="28"/>
        </w:rPr>
        <w:t xml:space="preserve"> чел. (</w:t>
      </w:r>
      <w:r w:rsidR="006B242D">
        <w:rPr>
          <w:sz w:val="28"/>
          <w:szCs w:val="28"/>
        </w:rPr>
        <w:t>88,3</w:t>
      </w:r>
      <w:r>
        <w:rPr>
          <w:sz w:val="28"/>
          <w:szCs w:val="28"/>
        </w:rPr>
        <w:t xml:space="preserve"> % опрошенных респондентов</w:t>
      </w:r>
      <w:r w:rsidR="006B242D">
        <w:rPr>
          <w:sz w:val="28"/>
          <w:szCs w:val="28"/>
        </w:rPr>
        <w:t xml:space="preserve">, в 2020 году – 80 </w:t>
      </w:r>
      <w:r w:rsidR="002B16EF">
        <w:rPr>
          <w:sz w:val="28"/>
          <w:szCs w:val="28"/>
        </w:rPr>
        <w:t>% опрош</w:t>
      </w:r>
      <w:r w:rsidR="006B242D">
        <w:rPr>
          <w:sz w:val="28"/>
          <w:szCs w:val="28"/>
        </w:rPr>
        <w:t>енных респондентов</w:t>
      </w:r>
      <w:r w:rsidR="00A00BAB">
        <w:rPr>
          <w:sz w:val="28"/>
          <w:szCs w:val="28"/>
        </w:rPr>
        <w:t>).</w:t>
      </w:r>
    </w:p>
    <w:p w:rsidR="00A73B35" w:rsidRDefault="00A73B35" w:rsidP="00A73B35">
      <w:pPr>
        <w:jc w:val="both"/>
        <w:rPr>
          <w:sz w:val="28"/>
          <w:szCs w:val="28"/>
        </w:rPr>
      </w:pPr>
    </w:p>
    <w:p w:rsidR="00A00BAB" w:rsidRDefault="00A00BAB" w:rsidP="00A73B35">
      <w:pPr>
        <w:jc w:val="both"/>
        <w:rPr>
          <w:sz w:val="28"/>
          <w:szCs w:val="28"/>
        </w:rPr>
      </w:pPr>
    </w:p>
    <w:p w:rsidR="00A00BAB" w:rsidRDefault="00A00BAB" w:rsidP="00A73B35">
      <w:pPr>
        <w:jc w:val="both"/>
        <w:rPr>
          <w:sz w:val="28"/>
          <w:szCs w:val="28"/>
        </w:rPr>
      </w:pPr>
    </w:p>
    <w:p w:rsidR="00A73B35" w:rsidRDefault="00A73B35" w:rsidP="00A73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73B35" w:rsidRDefault="00A73B35" w:rsidP="00A73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городского округа </w:t>
      </w:r>
    </w:p>
    <w:p w:rsidR="00A73B35" w:rsidRDefault="00A73B35" w:rsidP="00A73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А.А.Лазько</w:t>
      </w:r>
      <w:proofErr w:type="spellEnd"/>
    </w:p>
    <w:p w:rsidR="00A73B35" w:rsidRDefault="00A73B35" w:rsidP="00A73B35">
      <w:pPr>
        <w:jc w:val="both"/>
        <w:rPr>
          <w:sz w:val="28"/>
          <w:szCs w:val="28"/>
        </w:rPr>
      </w:pPr>
    </w:p>
    <w:p w:rsidR="00A73B35" w:rsidRDefault="00A73B35" w:rsidP="00A73B35">
      <w:pPr>
        <w:jc w:val="both"/>
        <w:rPr>
          <w:rFonts w:ascii="Arial" w:hAnsi="Arial" w:cs="Arial"/>
          <w:color w:val="2B2E33"/>
          <w:spacing w:val="-3"/>
          <w:sz w:val="30"/>
          <w:szCs w:val="30"/>
          <w:shd w:val="clear" w:color="auto" w:fill="FFFFFF"/>
        </w:rPr>
      </w:pPr>
    </w:p>
    <w:p w:rsidR="00A73B35" w:rsidRPr="004A6ED6" w:rsidRDefault="00A73B35" w:rsidP="00A73B35">
      <w:pPr>
        <w:jc w:val="both"/>
        <w:rPr>
          <w:sz w:val="28"/>
          <w:szCs w:val="28"/>
        </w:rPr>
      </w:pPr>
    </w:p>
    <w:p w:rsidR="00D32837" w:rsidRDefault="00D32837"/>
    <w:sectPr w:rsidR="00D32837" w:rsidSect="00646C01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5"/>
    <w:rsid w:val="00015F85"/>
    <w:rsid w:val="000220DC"/>
    <w:rsid w:val="00062BDA"/>
    <w:rsid w:val="00082006"/>
    <w:rsid w:val="00082614"/>
    <w:rsid w:val="000A6E48"/>
    <w:rsid w:val="000B38CA"/>
    <w:rsid w:val="00134AE6"/>
    <w:rsid w:val="00157086"/>
    <w:rsid w:val="001A7040"/>
    <w:rsid w:val="001E4B2A"/>
    <w:rsid w:val="00226FB0"/>
    <w:rsid w:val="002340BF"/>
    <w:rsid w:val="002410E8"/>
    <w:rsid w:val="00277BE0"/>
    <w:rsid w:val="002B0774"/>
    <w:rsid w:val="002B16EF"/>
    <w:rsid w:val="002F1577"/>
    <w:rsid w:val="002F78E0"/>
    <w:rsid w:val="00305D43"/>
    <w:rsid w:val="0035666F"/>
    <w:rsid w:val="003E3788"/>
    <w:rsid w:val="004707CD"/>
    <w:rsid w:val="00510DFC"/>
    <w:rsid w:val="00523C46"/>
    <w:rsid w:val="00565479"/>
    <w:rsid w:val="005654E7"/>
    <w:rsid w:val="00566F7E"/>
    <w:rsid w:val="005A06A2"/>
    <w:rsid w:val="005C6114"/>
    <w:rsid w:val="006452A4"/>
    <w:rsid w:val="00646C01"/>
    <w:rsid w:val="006471F6"/>
    <w:rsid w:val="006826E5"/>
    <w:rsid w:val="006B0972"/>
    <w:rsid w:val="006B242D"/>
    <w:rsid w:val="006B349C"/>
    <w:rsid w:val="006E2A71"/>
    <w:rsid w:val="00715500"/>
    <w:rsid w:val="0072073D"/>
    <w:rsid w:val="00777540"/>
    <w:rsid w:val="007A386C"/>
    <w:rsid w:val="007B36B2"/>
    <w:rsid w:val="007D7B85"/>
    <w:rsid w:val="007F4437"/>
    <w:rsid w:val="007F4CDF"/>
    <w:rsid w:val="00893314"/>
    <w:rsid w:val="008A0557"/>
    <w:rsid w:val="008A4CE1"/>
    <w:rsid w:val="008B03FF"/>
    <w:rsid w:val="008D315C"/>
    <w:rsid w:val="0090443B"/>
    <w:rsid w:val="00927F31"/>
    <w:rsid w:val="009318CC"/>
    <w:rsid w:val="00985890"/>
    <w:rsid w:val="009A73FD"/>
    <w:rsid w:val="009B4541"/>
    <w:rsid w:val="009C33DA"/>
    <w:rsid w:val="00A00BAB"/>
    <w:rsid w:val="00A079A1"/>
    <w:rsid w:val="00A73B35"/>
    <w:rsid w:val="00B9460F"/>
    <w:rsid w:val="00BA60AB"/>
    <w:rsid w:val="00BC2132"/>
    <w:rsid w:val="00BE32A5"/>
    <w:rsid w:val="00C7043A"/>
    <w:rsid w:val="00CA381B"/>
    <w:rsid w:val="00CF4EAF"/>
    <w:rsid w:val="00D0523E"/>
    <w:rsid w:val="00D32837"/>
    <w:rsid w:val="00D3387D"/>
    <w:rsid w:val="00D57153"/>
    <w:rsid w:val="00D616C8"/>
    <w:rsid w:val="00D82159"/>
    <w:rsid w:val="00D91627"/>
    <w:rsid w:val="00D96F97"/>
    <w:rsid w:val="00DE3D76"/>
    <w:rsid w:val="00E1762B"/>
    <w:rsid w:val="00E176A2"/>
    <w:rsid w:val="00E473D8"/>
    <w:rsid w:val="00E716DA"/>
    <w:rsid w:val="00EB653F"/>
    <w:rsid w:val="00EE53B0"/>
    <w:rsid w:val="00F227BF"/>
    <w:rsid w:val="00F274C3"/>
    <w:rsid w:val="00F31464"/>
    <w:rsid w:val="00FB271C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4F38"/>
  <w15:docId w15:val="{7B78B22C-925E-4DAE-8215-FF3DA163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3D76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155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957345971563982E-2"/>
          <c:y val="0.20895522388059701"/>
          <c:w val="0.46761453396524488"/>
          <c:h val="0.587064676616915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 опрошенных</c:v>
                </c:pt>
              </c:strCache>
            </c:strRef>
          </c:tx>
          <c:spPr>
            <a:solidFill>
              <a:srgbClr val="99CC00"/>
            </a:solidFill>
            <a:ln w="38100">
              <a:solidFill>
                <a:srgbClr val="99CC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FF"/>
              </a:solidFill>
              <a:ln w="381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330-4235-A581-D01DE414925A}"/>
              </c:ext>
            </c:extLst>
          </c:dPt>
          <c:dPt>
            <c:idx val="1"/>
            <c:bubble3D val="0"/>
            <c:spPr>
              <a:solidFill>
                <a:srgbClr val="3366FF"/>
              </a:solidFill>
              <a:ln w="38100">
                <a:solidFill>
                  <a:srgbClr val="0070C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330-4235-A581-D01DE414925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330-4235-A581-D01DE414925A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38100">
                <a:solidFill>
                  <a:schemeClr val="accent6">
                    <a:lumMod val="7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203-4CB2-A9B8-505DE5451901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38100">
                <a:solidFill>
                  <a:schemeClr val="accent2">
                    <a:lumMod val="7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203-4CB2-A9B8-505DE5451901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38100">
                <a:solidFill>
                  <a:srgbClr val="00B05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203-4CB2-A9B8-505DE5451901}"/>
              </c:ext>
            </c:extLst>
          </c:dPt>
          <c:dLbls>
            <c:dLbl>
              <c:idx val="5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0" i="0" u="none" strike="noStrike" baseline="0">
                      <a:solidFill>
                        <a:schemeClr val="tx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4203-4CB2-A9B8-505DE545190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6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55-64 года</c:v>
                </c:pt>
                <c:pt idx="5">
                  <c:v>65 лет и старше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6"/>
                <c:pt idx="0" formatCode="0.00%">
                  <c:v>0.11700000000000001</c:v>
                </c:pt>
                <c:pt idx="1">
                  <c:v>0.156</c:v>
                </c:pt>
                <c:pt idx="2" formatCode="0.00%">
                  <c:v>0.27300000000000002</c:v>
                </c:pt>
                <c:pt idx="3" formatCode="0.00%">
                  <c:v>0.221</c:v>
                </c:pt>
                <c:pt idx="4" formatCode="0.00%">
                  <c:v>0.156</c:v>
                </c:pt>
                <c:pt idx="5" formatCode="0.00%">
                  <c:v>7.8E-2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30-4235-A581-D01DE4149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0710900473933651"/>
          <c:y val="0.14427860696517414"/>
          <c:w val="0.33143331922687919"/>
          <c:h val="0.510389118817453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FF00" mc:Ignorable="a14" a14:legacySpreadsheetColorIndex="1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дальность нахождения финансовых организаций</c:v>
                </c:pt>
                <c:pt idx="1">
                  <c:v>дальность нахождения банкоматов</c:v>
                </c:pt>
                <c:pt idx="2">
                  <c:v>отсутствие  возможности проводить безналичную оплату </c:v>
                </c:pt>
                <c:pt idx="3">
                  <c:v>дорогое обслуживание счета (платежной карты</c:v>
                </c:pt>
                <c:pt idx="4">
                  <c:v>недостаточность денег </c:v>
                </c:pt>
                <c:pt idx="5">
                  <c:v>недоверие банкам (кредитным организациям)</c:v>
                </c:pt>
                <c:pt idx="6">
                  <c:v>пользование платежными картами другими членами семьи </c:v>
                </c:pt>
                <c:pt idx="7">
                  <c:v>иное (удобство, привычка расплачиваться наличными деньгами)</c:v>
                </c:pt>
              </c:strCache>
            </c:strRef>
          </c:cat>
          <c:val>
            <c:numRef>
              <c:f>Sheet1!$B$2:$I$2</c:f>
              <c:numCache>
                <c:formatCode>0.00%</c:formatCode>
                <c:ptCount val="8"/>
                <c:pt idx="0">
                  <c:v>2.5999999999999999E-2</c:v>
                </c:pt>
                <c:pt idx="1">
                  <c:v>6.5000000000000002E-2</c:v>
                </c:pt>
                <c:pt idx="2">
                  <c:v>5.1999999999999998E-2</c:v>
                </c:pt>
                <c:pt idx="3">
                  <c:v>6.5000000000000002E-2</c:v>
                </c:pt>
                <c:pt idx="4">
                  <c:v>0.312</c:v>
                </c:pt>
                <c:pt idx="5">
                  <c:v>0</c:v>
                </c:pt>
                <c:pt idx="6">
                  <c:v>0.247</c:v>
                </c:pt>
                <c:pt idx="7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6-4FCC-87F5-E3B8E51BFA46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8000" mc:Ignorable="a14" a14:legacySpreadsheetColorIndex="17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дальность нахождения финансовых организаций</c:v>
                </c:pt>
                <c:pt idx="1">
                  <c:v>дальность нахождения банкоматов</c:v>
                </c:pt>
                <c:pt idx="2">
                  <c:v>отсутствие  возможности проводить безналичную оплату </c:v>
                </c:pt>
                <c:pt idx="3">
                  <c:v>дорогое обслуживание счета (платежной карты</c:v>
                </c:pt>
                <c:pt idx="4">
                  <c:v>недостаточность денег </c:v>
                </c:pt>
                <c:pt idx="5">
                  <c:v>недоверие банкам (кредитным организациям)</c:v>
                </c:pt>
                <c:pt idx="6">
                  <c:v>пользование платежными картами другими членами семьи </c:v>
                </c:pt>
                <c:pt idx="7">
                  <c:v>иное (удобство, привычка расплачиваться наличными деньгами)</c:v>
                </c:pt>
              </c:strCache>
            </c:strRef>
          </c:cat>
          <c:val>
            <c:numRef>
              <c:f>Sheet1!$B$3:$I$3</c:f>
              <c:numCache>
                <c:formatCode>0%</c:formatCode>
                <c:ptCount val="8"/>
                <c:pt idx="0">
                  <c:v>0</c:v>
                </c:pt>
                <c:pt idx="1">
                  <c:v>0.1</c:v>
                </c:pt>
                <c:pt idx="2">
                  <c:v>0.05</c:v>
                </c:pt>
                <c:pt idx="3">
                  <c:v>0.05</c:v>
                </c:pt>
                <c:pt idx="4">
                  <c:v>0.5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6-4FCC-87F5-E3B8E51BFA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36784"/>
        <c:axId val="1"/>
      </c:barChart>
      <c:catAx>
        <c:axId val="20543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36784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2244342098747"/>
          <c:y val="3.7162162162162164E-2"/>
          <c:w val="0.41534211525446113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интернет-банк, открытый с помощью стационарного компьютера или ноутбука</c:v>
                </c:pt>
                <c:pt idx="1">
                  <c:v>интернет-банк, открытый с помощью планшета или смартфона </c:v>
                </c:pt>
                <c:pt idx="2">
                  <c:v>мобильный банк, открытый с помощью специализированного мобильного приложения (программы) для смартфона или планшета </c:v>
                </c:pt>
                <c:pt idx="3">
                  <c:v>мобильный банк, открытый посредством сообщений с использованием мобильного телефона 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0.623</c:v>
                </c:pt>
                <c:pt idx="1">
                  <c:v>0.623</c:v>
                </c:pt>
                <c:pt idx="2">
                  <c:v>0.70099999999999996</c:v>
                </c:pt>
                <c:pt idx="3">
                  <c:v>0.27300000000000002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1-493E-85FF-EEE7A5A655AD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3366FF" mc:Ignorable="a14" a14:legacySpreadsheetColorIndex="48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интернет-банк, открытый с помощью стационарного компьютера или ноутбука</c:v>
                </c:pt>
                <c:pt idx="1">
                  <c:v>интернет-банк, открытый с помощью планшета или смартфона </c:v>
                </c:pt>
                <c:pt idx="2">
                  <c:v>мобильный банк, открытый с помощью специализированного мобильного приложения (программы) для смартфона или планшета </c:v>
                </c:pt>
                <c:pt idx="3">
                  <c:v>мобильный банк, открытый посредством сообщений с использованием мобильного телефона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</c:v>
                </c:pt>
                <c:pt idx="1">
                  <c:v>0.3</c:v>
                </c:pt>
                <c:pt idx="2">
                  <c:v>0.4</c:v>
                </c:pt>
                <c:pt idx="3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11-493E-85FF-EEE7A5A655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6312"/>
        <c:axId val="1"/>
      </c:barChart>
      <c:catAx>
        <c:axId val="205446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t" anchorCtr="0"/>
          <a:lstStyle/>
          <a:p>
            <a:pPr>
              <a:defRPr sz="900" b="0" i="0" u="none" strike="noStrike" kern="0" spc="0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46312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6526849238189"/>
          <c:y val="0.35810810810810811"/>
          <c:w val="9.924247676587597E-2"/>
          <c:h val="0.165540540540540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anchor="ctr" anchorCtr="0"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2244342098747"/>
          <c:y val="3.7162162162162164E-2"/>
          <c:w val="0.41534211525446113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отсутствие навыков использования онлайн-технологий</c:v>
                </c:pt>
                <c:pt idx="1">
                  <c:v>неуверенность в безопасности интернет-сервисов </c:v>
                </c:pt>
                <c:pt idx="2">
                  <c:v>отсутствие компьютера, ноутбука, планшета, смартфона </c:v>
                </c:pt>
                <c:pt idx="3">
                  <c:v>отсутствие интернет-подключения 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0.19500000000000001</c:v>
                </c:pt>
                <c:pt idx="1">
                  <c:v>0.156</c:v>
                </c:pt>
                <c:pt idx="2">
                  <c:v>0.182</c:v>
                </c:pt>
                <c:pt idx="3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43-4C75-851B-C6DE5FE5158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3366FF" mc:Ignorable="a14" a14:legacySpreadsheetColorIndex="48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отсутствие навыков использования онлайн-технологий</c:v>
                </c:pt>
                <c:pt idx="1">
                  <c:v>неуверенность в безопасности интернет-сервисов </c:v>
                </c:pt>
                <c:pt idx="2">
                  <c:v>отсутствие компьютера, ноутбука, планшета, смартфона </c:v>
                </c:pt>
                <c:pt idx="3">
                  <c:v>отсутствие интернет-подключения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0.35</c:v>
                </c:pt>
                <c:pt idx="1">
                  <c:v>0.25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43-4C75-851B-C6DE5FE515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6312"/>
        <c:axId val="1"/>
      </c:barChart>
      <c:catAx>
        <c:axId val="205446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t" anchorCtr="0"/>
          <a:lstStyle/>
          <a:p>
            <a:pPr>
              <a:defRPr sz="900" b="0" i="0" u="none" strike="noStrike" kern="0" spc="0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46312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6526849238189"/>
          <c:y val="0.35810810810810811"/>
          <c:w val="9.924247676587597E-2"/>
          <c:h val="0.165540540540540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anchor="ctr" anchorCtr="0"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2244342098747"/>
          <c:y val="3.7162162162162164E-2"/>
          <c:w val="0.41534211525446113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val="FF66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договор добровольного страхования жизни </c:v>
                </c:pt>
                <c:pt idx="1">
                  <c:v>договор добровольного страхования, кроме страхования жизни </c:v>
                </c:pt>
                <c:pt idx="2">
                  <c:v>договор другого обязательного страхования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0.14299999999999999</c:v>
                </c:pt>
                <c:pt idx="1">
                  <c:v>0.155</c:v>
                </c:pt>
                <c:pt idx="2">
                  <c:v>0.57099999999999995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9-488E-9ABC-F63F37DFBC5B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val="9900CC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договор добровольного страхования жизни </c:v>
                </c:pt>
                <c:pt idx="1">
                  <c:v>договор добровольного страхования, кроме страхования жизни </c:v>
                </c:pt>
                <c:pt idx="2">
                  <c:v>договор другого обязательного страхования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0.1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D9-488E-9ABC-F63F37DFBC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6312"/>
        <c:axId val="1"/>
      </c:barChart>
      <c:catAx>
        <c:axId val="205446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t" anchorCtr="0"/>
          <a:lstStyle/>
          <a:p>
            <a:pPr>
              <a:defRPr sz="900" b="0" i="0" u="none" strike="noStrike" kern="0" spc="0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46312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6526849238189"/>
          <c:y val="0.35810810810810811"/>
          <c:w val="9.924247676587597E-2"/>
          <c:h val="0.165540540540540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anchor="ctr" anchorCtr="0"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2244342098747"/>
          <c:y val="3.7162162162162164E-2"/>
          <c:w val="0.41534211525446113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val="FF66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отсутствие смысла в страховании</c:v>
                </c:pt>
                <c:pt idx="1">
                  <c:v>недоверие к страховым организациям</c:v>
                </c:pt>
                <c:pt idx="2">
                  <c:v>высокая стоимость страхования</c:v>
                </c:pt>
                <c:pt idx="3">
                  <c:v>страховой полис имеют другие члены семьи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0.27300000000000002</c:v>
                </c:pt>
                <c:pt idx="1">
                  <c:v>0.156</c:v>
                </c:pt>
                <c:pt idx="2">
                  <c:v>9.0999999999999998E-2</c:v>
                </c:pt>
                <c:pt idx="3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75-4C20-9082-B779D992926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val="9900CC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отсутствие смысла в страховании</c:v>
                </c:pt>
                <c:pt idx="1">
                  <c:v>недоверие к страховым организациям</c:v>
                </c:pt>
                <c:pt idx="2">
                  <c:v>высокая стоимость страхования</c:v>
                </c:pt>
                <c:pt idx="3">
                  <c:v>страховой полис имеют другие члены семьи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75-4C20-9082-B779D99292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6312"/>
        <c:axId val="1"/>
      </c:barChart>
      <c:catAx>
        <c:axId val="205446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t" anchorCtr="0"/>
          <a:lstStyle/>
          <a:p>
            <a:pPr>
              <a:defRPr sz="900" b="0" i="0" u="none" strike="noStrike" kern="0" spc="0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46312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6526849238189"/>
          <c:y val="0.35810810810810811"/>
          <c:w val="9.924247676587597E-2"/>
          <c:h val="0.165540540540540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anchor="ctr" anchorCtr="0"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2244342098747"/>
          <c:y val="3.7162162162162164E-2"/>
          <c:w val="0.41534211525446113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val="00B0F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Доверяют банкам</c:v>
                </c:pt>
                <c:pt idx="1">
                  <c:v>Доверяют страховым организациям</c:v>
                </c:pt>
                <c:pt idx="2">
                  <c:v>Доверяют сельскохозяйственным кредитным потребительским кооперативам </c:v>
                </c:pt>
                <c:pt idx="3">
                  <c:v>Доверяют негосударственным пенсионным фондам </c:v>
                </c:pt>
                <c:pt idx="4">
                  <c:v>Доверяют кредитным потребительским кооперативам</c:v>
                </c:pt>
                <c:pt idx="5">
                  <c:v>Доверяют микрофинансовым организациям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0.66200000000000003</c:v>
                </c:pt>
                <c:pt idx="1">
                  <c:v>0.20799999999999999</c:v>
                </c:pt>
                <c:pt idx="2">
                  <c:v>0.11700000000000001</c:v>
                </c:pt>
                <c:pt idx="3">
                  <c:v>0.11700000000000001</c:v>
                </c:pt>
                <c:pt idx="4">
                  <c:v>7.8E-2</c:v>
                </c:pt>
                <c:pt idx="5">
                  <c:v>7.8E-2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FE-4EDB-91B3-CC33B5AAD82C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val="0070C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Доверяют банкам</c:v>
                </c:pt>
                <c:pt idx="1">
                  <c:v>Доверяют страховым организациям</c:v>
                </c:pt>
                <c:pt idx="2">
                  <c:v>Доверяют сельскохозяйственным кредитным потребительским кооперативам </c:v>
                </c:pt>
                <c:pt idx="3">
                  <c:v>Доверяют негосударственным пенсионным фондам </c:v>
                </c:pt>
                <c:pt idx="4">
                  <c:v>Доверяют кредитным потребительским кооперативам</c:v>
                </c:pt>
                <c:pt idx="5">
                  <c:v>Доверяют микрофинансовым организациям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FE-4EDB-91B3-CC33B5AAD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6312"/>
        <c:axId val="1"/>
      </c:barChart>
      <c:catAx>
        <c:axId val="205446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t" anchorCtr="0"/>
          <a:lstStyle/>
          <a:p>
            <a:pPr>
              <a:defRPr sz="900" b="0" i="0" u="none" strike="noStrike" kern="0" spc="0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46312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6526849238189"/>
          <c:y val="0.35810810810810811"/>
          <c:w val="9.924247676587597E-2"/>
          <c:h val="0.165540540540540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anchor="ctr" anchorCtr="0"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2244342098747"/>
          <c:y val="3.7162162162162164E-2"/>
          <c:w val="0.41534211525446113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val="00B0F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Sheet1!$D$1:$I$1</c:f>
              <c:strCache>
                <c:ptCount val="6"/>
                <c:pt idx="0">
                  <c:v>Не доверяют кредитным потребительским кооперативам </c:v>
                </c:pt>
                <c:pt idx="1">
                  <c:v>Не доверяют ломбардам</c:v>
                </c:pt>
                <c:pt idx="2">
                  <c:v>Не доверяют субъектам страхового дела </c:v>
                </c:pt>
                <c:pt idx="3">
                  <c:v>Не доверяют сельскохозяйственным потребительским кооперативам </c:v>
                </c:pt>
                <c:pt idx="4">
                  <c:v>Не доверяют негосударственным пенсионным фондам </c:v>
                </c:pt>
                <c:pt idx="5">
                  <c:v>Не доверяют брокерским структурам </c:v>
                </c:pt>
              </c:strCache>
            </c:strRef>
          </c:cat>
          <c:val>
            <c:numRef>
              <c:f>Sheet1!$D$2:$I$2</c:f>
              <c:numCache>
                <c:formatCode>0.00%</c:formatCode>
                <c:ptCount val="6"/>
                <c:pt idx="0">
                  <c:v>3.9E-2</c:v>
                </c:pt>
                <c:pt idx="1">
                  <c:v>0</c:v>
                </c:pt>
                <c:pt idx="2">
                  <c:v>3.9E-2</c:v>
                </c:pt>
                <c:pt idx="3">
                  <c:v>1.2999999999999999E-2</c:v>
                </c:pt>
                <c:pt idx="4">
                  <c:v>0.14300000000000002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7-4965-B8F2-7FA3FF252969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val="0070C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Sheet1!$D$1:$I$1</c:f>
              <c:strCache>
                <c:ptCount val="6"/>
                <c:pt idx="0">
                  <c:v>Не доверяют кредитным потребительским кооперативам </c:v>
                </c:pt>
                <c:pt idx="1">
                  <c:v>Не доверяют ломбардам</c:v>
                </c:pt>
                <c:pt idx="2">
                  <c:v>Не доверяют субъектам страхового дела </c:v>
                </c:pt>
                <c:pt idx="3">
                  <c:v>Не доверяют сельскохозяйственным потребительским кооперативам </c:v>
                </c:pt>
                <c:pt idx="4">
                  <c:v>Не доверяют негосударственным пенсионным фондам </c:v>
                </c:pt>
                <c:pt idx="5">
                  <c:v>Не доверяют брокерским структурам </c:v>
                </c:pt>
              </c:strCache>
            </c:strRef>
          </c:cat>
          <c:val>
            <c:numRef>
              <c:f>Sheet1!$D$3:$I$3</c:f>
              <c:numCache>
                <c:formatCode>0%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0.05</c:v>
                </c:pt>
                <c:pt idx="4">
                  <c:v>0.15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07-4965-B8F2-7FA3FF2529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6312"/>
        <c:axId val="1"/>
      </c:barChart>
      <c:catAx>
        <c:axId val="205446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t" anchorCtr="0"/>
          <a:lstStyle/>
          <a:p>
            <a:pPr>
              <a:defRPr sz="900" b="0" i="0" u="none" strike="noStrike" kern="0" spc="0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46312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6526849238189"/>
          <c:y val="0.35810810810810811"/>
          <c:w val="9.924247676587597E-2"/>
          <c:h val="0.165540540540540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anchor="ctr" anchorCtr="0"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43601895734597E-2"/>
          <c:y val="5.4726368159203981E-2"/>
          <c:w val="0.65244865718799372"/>
          <c:h val="0.81592039800995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Социальный статус</c:v>
                </c:pt>
              </c:strCache>
            </c:strRef>
          </c:tx>
          <c:spPr>
            <a:solidFill>
              <a:srgbClr val="9999FF"/>
            </a:solidFill>
            <a:ln w="25400">
              <a:solidFill>
                <a:srgbClr val="000080"/>
              </a:solidFill>
              <a:prstDash val="solid"/>
            </a:ln>
          </c:spPr>
          <c:explosion val="25"/>
          <c:dPt>
            <c:idx val="0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24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9999FF" mc:Ignorable="a14" a14:legacySpreadsheetColorIndex="24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24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25400">
                <a:solidFill>
                  <a:srgbClr val="9999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B5C-4E0B-B8AF-CFE2642533FC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25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993366" mc:Ignorable="a14" a14:legacySpreadsheetColorIndex="25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25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25400">
                <a:solidFill>
                  <a:srgbClr val="993366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5C-4E0B-B8AF-CFE2642533FC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13">
                      <a:gamma/>
                      <a:shade val="46275"/>
                      <a:invGamma/>
                    </a:srgbClr>
                  </a:gs>
                  <a:gs pos="50000">
                    <a:srgbClr xmlns:mc="http://schemas.openxmlformats.org/markup-compatibility/2006" xmlns:a14="http://schemas.microsoft.com/office/drawing/2010/main" val="FFFF00" mc:Ignorable="a14" a14:legacySpreadsheetColorIndex="13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13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25400">
                <a:solidFill>
                  <a:srgbClr val="FFFF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B5C-4E0B-B8AF-CFE2642533FC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xmlns:mc="http://schemas.openxmlformats.org/markup-compatibility/2006" xmlns:a14="http://schemas.microsoft.com/office/drawing/2010/main" val="000000" mc:Ignorable="a14" a14:legacySpreadsheetColorIndex="13">
                      <a:gamma/>
                      <a:shade val="46275"/>
                      <a:invGamma/>
                    </a:srgbClr>
                  </a:gs>
                  <a:gs pos="50000">
                    <a:schemeClr val="accent6">
                      <a:lumMod val="75000"/>
                    </a:schemeClr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13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25400"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781B-44DB-B651-646EABA3594F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chemeClr val="tx1"/>
                  </a:gs>
                  <a:gs pos="34000">
                    <a:srgbClr val="7E9C40"/>
                  </a:gs>
                  <a:gs pos="63000">
                    <a:schemeClr val="accent3">
                      <a:lumMod val="75000"/>
                    </a:schemeClr>
                  </a:gs>
                  <a:gs pos="97000">
                    <a:schemeClr val="tx1"/>
                  </a:gs>
                </a:gsLst>
                <a:path path="circle">
                  <a:fillToRect l="100000" b="100000"/>
                </a:path>
                <a:tileRect t="-100000" r="-100000"/>
              </a:gradFill>
              <a:ln w="25400">
                <a:solidFill>
                  <a:schemeClr val="accent3">
                    <a:lumMod val="7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81B-44DB-B651-646EABA3594F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tx1"/>
                  </a:gs>
                  <a:gs pos="0">
                    <a:schemeClr val="tx1"/>
                  </a:gs>
                  <a:gs pos="49000">
                    <a:srgbClr val="FF0000"/>
                  </a:gs>
                </a:gsLst>
                <a:lin ang="5400000" scaled="1"/>
              </a:gradFill>
              <a:ln w="25400">
                <a:solidFill>
                  <a:srgbClr val="C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781B-44DB-B651-646EABA3594F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rgbClr val="002060"/>
                  </a:gs>
                  <a:gs pos="0">
                    <a:schemeClr val="tx1"/>
                  </a:gs>
                  <a:gs pos="72000">
                    <a:srgbClr val="0070C0"/>
                  </a:gs>
                  <a:gs pos="36000">
                    <a:srgbClr val="0070C0"/>
                  </a:gs>
                  <a:gs pos="100000">
                    <a:schemeClr val="tx1"/>
                  </a:gs>
                </a:gsLst>
                <a:lin ang="5400000" scaled="1"/>
              </a:gradFill>
              <a:ln w="25400">
                <a:solidFill>
                  <a:srgbClr val="00206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81B-44DB-B651-646EABA3594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Работающий</c:v>
                </c:pt>
                <c:pt idx="1">
                  <c:v>Безработный</c:v>
                </c:pt>
                <c:pt idx="2">
                  <c:v>Учащийся/студент</c:v>
                </c:pt>
                <c:pt idx="3">
                  <c:v>Домохозяйка/домохозяин</c:v>
                </c:pt>
                <c:pt idx="4">
                  <c:v>Пенсионер</c:v>
                </c:pt>
                <c:pt idx="5">
                  <c:v>Самозанятый</c:v>
                </c:pt>
                <c:pt idx="6">
                  <c:v>Предприниматель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7"/>
                <c:pt idx="0" formatCode="0.00%">
                  <c:v>0.312</c:v>
                </c:pt>
                <c:pt idx="1">
                  <c:v>5.1999999999999998E-2</c:v>
                </c:pt>
                <c:pt idx="2" formatCode="0.00%">
                  <c:v>7.8E-2</c:v>
                </c:pt>
                <c:pt idx="3" formatCode="0.00%">
                  <c:v>5.1999999999999998E-2</c:v>
                </c:pt>
                <c:pt idx="4" formatCode="0.00%">
                  <c:v>0.16800000000000001</c:v>
                </c:pt>
                <c:pt idx="5" formatCode="0.00%">
                  <c:v>0.11700000000000001</c:v>
                </c:pt>
                <c:pt idx="6" formatCode="0.00%">
                  <c:v>0.221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5C-4E0B-B8AF-CFE264253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614533965244861"/>
          <c:y val="0.24875621890547264"/>
          <c:w val="0.31437598736176936"/>
          <c:h val="0.4825870646766169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957345971563982E-2"/>
          <c:y val="0.20895522388059701"/>
          <c:w val="0.46761453396524488"/>
          <c:h val="0.587064676616915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solidFill>
              <a:srgbClr val="99CC00"/>
            </a:solidFill>
            <a:ln w="38100">
              <a:solidFill>
                <a:srgbClr val="99CC00"/>
              </a:solidFill>
              <a:prstDash val="solid"/>
            </a:ln>
          </c:spPr>
          <c:explosion val="25"/>
          <c:dPt>
            <c:idx val="0"/>
            <c:bubble3D val="0"/>
            <c:spPr>
              <a:gradFill>
                <a:gsLst>
                  <a:gs pos="0">
                    <a:srgbClr val="660066"/>
                  </a:gs>
                  <a:gs pos="50000">
                    <a:srgbClr val="FF00FF"/>
                  </a:gs>
                  <a:gs pos="100000">
                    <a:srgbClr val="660066"/>
                  </a:gs>
                </a:gsLst>
                <a:lin ang="5400000" scaled="1"/>
              </a:gradFill>
              <a:ln w="38100">
                <a:solidFill>
                  <a:srgbClr val="660066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9A1-471C-82DE-DCFE4672949C}"/>
              </c:ext>
            </c:extLst>
          </c:dPt>
          <c:dPt>
            <c:idx val="1"/>
            <c:bubble3D val="0"/>
            <c:spPr>
              <a:gradFill>
                <a:gsLst>
                  <a:gs pos="4000">
                    <a:srgbClr val="002060"/>
                  </a:gs>
                  <a:gs pos="50000">
                    <a:srgbClr val="0070C0"/>
                  </a:gs>
                  <a:gs pos="100000">
                    <a:srgbClr val="002060"/>
                  </a:gs>
                </a:gsLst>
                <a:lin ang="5400000" scaled="1"/>
              </a:gradFill>
              <a:ln w="38100">
                <a:solidFill>
                  <a:srgbClr val="00206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9A1-471C-82DE-DCFE4672949C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00B050"/>
                  </a:gs>
                  <a:gs pos="50000">
                    <a:srgbClr val="92D050"/>
                  </a:gs>
                  <a:gs pos="100000">
                    <a:srgbClr val="00B050"/>
                  </a:gs>
                </a:gsLst>
                <a:lin ang="5400000" scaled="1"/>
              </a:gradFill>
              <a:ln w="38100">
                <a:solidFill>
                  <a:srgbClr val="00B05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9A1-471C-82DE-DCFE4672949C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chemeClr val="accent6">
                      <a:lumMod val="50000"/>
                    </a:schemeClr>
                  </a:gs>
                  <a:gs pos="50000">
                    <a:schemeClr val="accent6">
                      <a:lumMod val="75000"/>
                    </a:schemeClr>
                  </a:gs>
                  <a:gs pos="100000">
                    <a:schemeClr val="accent6">
                      <a:lumMod val="50000"/>
                    </a:schemeClr>
                  </a:gs>
                </a:gsLst>
                <a:lin ang="5400000" scaled="1"/>
              </a:gradFill>
              <a:ln w="38100"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9A1-471C-82DE-DCFE4672949C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38100">
                <a:solidFill>
                  <a:schemeClr val="accent2">
                    <a:lumMod val="7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9A1-471C-82DE-DCFE4672949C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38100">
                <a:solidFill>
                  <a:srgbClr val="00B05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9A1-471C-82DE-DCFE4672949C}"/>
              </c:ext>
            </c:extLst>
          </c:dPt>
          <c:dLbls>
            <c:dLbl>
              <c:idx val="5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0" i="0" u="none" strike="noStrike" baseline="0">
                      <a:solidFill>
                        <a:schemeClr val="tx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49A1-471C-82DE-DCFE4672949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ребенка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4"/>
                <c:pt idx="0" formatCode="0.00%">
                  <c:v>0.27300000000000002</c:v>
                </c:pt>
                <c:pt idx="1">
                  <c:v>0.29799999999999999</c:v>
                </c:pt>
                <c:pt idx="2" formatCode="0.00%">
                  <c:v>0.36399999999999999</c:v>
                </c:pt>
                <c:pt idx="3" formatCode="0.00%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9A1-471C-82DE-DCFE46729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0710900473933651"/>
          <c:y val="0.14427860696517414"/>
          <c:w val="0.33143331922687919"/>
          <c:h val="0.510389118817453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957345971563982E-2"/>
          <c:y val="0.20895522388059701"/>
          <c:w val="0.46761453396524488"/>
          <c:h val="0.587064676616915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образования</c:v>
                </c:pt>
              </c:strCache>
            </c:strRef>
          </c:tx>
          <c:spPr>
            <a:solidFill>
              <a:srgbClr val="99CC00"/>
            </a:solidFill>
            <a:ln w="38100">
              <a:solidFill>
                <a:srgbClr val="99CC00"/>
              </a:solidFill>
              <a:prstDash val="solid"/>
            </a:ln>
          </c:spPr>
          <c:explosion val="25"/>
          <c:dPt>
            <c:idx val="0"/>
            <c:bubble3D val="0"/>
            <c:spPr>
              <a:gradFill>
                <a:gsLst>
                  <a:gs pos="0">
                    <a:srgbClr val="660066"/>
                  </a:gs>
                  <a:gs pos="50000">
                    <a:srgbClr val="FF00FF"/>
                  </a:gs>
                  <a:gs pos="100000">
                    <a:srgbClr val="660066"/>
                  </a:gs>
                </a:gsLst>
                <a:lin ang="5400000" scaled="1"/>
              </a:gradFill>
              <a:ln w="38100">
                <a:solidFill>
                  <a:srgbClr val="660066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F9D-4394-8C14-02E099ADD6E8}"/>
              </c:ext>
            </c:extLst>
          </c:dPt>
          <c:dPt>
            <c:idx val="1"/>
            <c:bubble3D val="0"/>
            <c:spPr>
              <a:gradFill>
                <a:gsLst>
                  <a:gs pos="4000">
                    <a:srgbClr val="002060"/>
                  </a:gs>
                  <a:gs pos="50000">
                    <a:srgbClr val="0070C0"/>
                  </a:gs>
                  <a:gs pos="100000">
                    <a:srgbClr val="002060"/>
                  </a:gs>
                </a:gsLst>
                <a:lin ang="5400000" scaled="1"/>
              </a:gradFill>
              <a:ln w="38100">
                <a:solidFill>
                  <a:srgbClr val="00206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F9D-4394-8C14-02E099ADD6E8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00B050"/>
                  </a:gs>
                  <a:gs pos="50000">
                    <a:srgbClr val="92D050"/>
                  </a:gs>
                  <a:gs pos="100000">
                    <a:srgbClr val="00B050"/>
                  </a:gs>
                </a:gsLst>
                <a:lin ang="5400000" scaled="1"/>
              </a:gradFill>
              <a:ln w="38100">
                <a:solidFill>
                  <a:srgbClr val="00B05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F9D-4394-8C14-02E099ADD6E8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chemeClr val="accent6">
                      <a:lumMod val="50000"/>
                    </a:schemeClr>
                  </a:gs>
                  <a:gs pos="50000">
                    <a:schemeClr val="accent6">
                      <a:lumMod val="75000"/>
                    </a:schemeClr>
                  </a:gs>
                  <a:gs pos="100000">
                    <a:schemeClr val="accent6">
                      <a:lumMod val="50000"/>
                    </a:schemeClr>
                  </a:gs>
                </a:gsLst>
                <a:lin ang="5400000" scaled="1"/>
              </a:gradFill>
              <a:ln w="38100"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F9D-4394-8C14-02E099ADD6E8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38100">
                <a:solidFill>
                  <a:schemeClr val="accent2">
                    <a:lumMod val="7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F9D-4394-8C14-02E099ADD6E8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38100">
                <a:solidFill>
                  <a:srgbClr val="00B05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5F9D-4394-8C14-02E099ADD6E8}"/>
              </c:ext>
            </c:extLst>
          </c:dPt>
          <c:dLbls>
            <c:dLbl>
              <c:idx val="5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0" i="0" u="none" strike="noStrike" baseline="0">
                      <a:solidFill>
                        <a:schemeClr val="tx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5F9D-4394-8C14-02E099ADD6E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Основное общее</c:v>
                </c:pt>
                <c:pt idx="1">
                  <c:v>Среднее общее</c:v>
                </c:pt>
                <c:pt idx="2">
                  <c:v>Среднее профессиональное</c:v>
                </c:pt>
                <c:pt idx="3">
                  <c:v>Высшее - бакалавриат</c:v>
                </c:pt>
                <c:pt idx="4">
                  <c:v>Высшее - специалитет, магистратура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 formatCode="0.00%">
                  <c:v>6.5000000000000002E-2</c:v>
                </c:pt>
                <c:pt idx="1">
                  <c:v>0.20799999999999999</c:v>
                </c:pt>
                <c:pt idx="2" formatCode="0.00%">
                  <c:v>0.33800000000000002</c:v>
                </c:pt>
                <c:pt idx="3" formatCode="0.00%">
                  <c:v>0.27300000000000002</c:v>
                </c:pt>
                <c:pt idx="4" formatCode="0.00%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F9D-4394-8C14-02E099ADD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351281753818961"/>
          <c:y val="6.8377434794085257E-2"/>
          <c:w val="0.36463522833665296"/>
          <c:h val="0.8898957601836772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2244342098747"/>
          <c:y val="3.7162162162162164E-2"/>
          <c:w val="0.41534211525446113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Нам не всегда хватает денег даже на еду</c:v>
                </c:pt>
                <c:pt idx="1">
                  <c:v>У нас достаточно денег на еду, но купить одежду для нас – серьезная проблема </c:v>
                </c:pt>
                <c:pt idx="2">
                  <c:v>Нам хватает на еду и одежду, но для покупки импортного холодильника или стиральной машины-автомат, нам пришлось бы копить или брать в долг/ кредит </c:v>
                </c:pt>
                <c:pt idx="3">
                  <c:v>В случае необходимости мы можем купить основную бытовую технику и без привлечения заемных средств, но автомобиль для нас – непозволительная роскошь</c:v>
                </c:pt>
                <c:pt idx="4">
                  <c:v>Мы можем позволить себе очень многое, но в ближайшем будущем не смогли бы самостоятельно накопить даже на однокомнатную квартиру</c:v>
                </c:pt>
                <c:pt idx="5">
                  <c:v>У нас нет никаких финансовых затруднений. При необходимости мы сможем купить квартиру или дом.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9.0999999999999998E-2</c:v>
                </c:pt>
                <c:pt idx="1">
                  <c:v>0.16800000000000001</c:v>
                </c:pt>
                <c:pt idx="2">
                  <c:v>0.27300000000000002</c:v>
                </c:pt>
                <c:pt idx="3">
                  <c:v>0.32500000000000001</c:v>
                </c:pt>
                <c:pt idx="4">
                  <c:v>0.104</c:v>
                </c:pt>
                <c:pt idx="5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2-4079-B7A0-F7CD0AFC300B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3366FF" mc:Ignorable="a14" a14:legacySpreadsheetColorIndex="48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8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Нам не всегда хватает денег даже на еду</c:v>
                </c:pt>
                <c:pt idx="1">
                  <c:v>У нас достаточно денег на еду, но купить одежду для нас – серьезная проблема </c:v>
                </c:pt>
                <c:pt idx="2">
                  <c:v>Нам хватает на еду и одежду, но для покупки импортного холодильника или стиральной машины-автомат, нам пришлось бы копить или брать в долг/ кредит </c:v>
                </c:pt>
                <c:pt idx="3">
                  <c:v>В случае необходимости мы можем купить основную бытовую технику и без привлечения заемных средств, но автомобиль для нас – непозволительная роскошь</c:v>
                </c:pt>
                <c:pt idx="4">
                  <c:v>Мы можем позволить себе очень многое, но в ближайшем будущем не смогли бы самостоятельно накопить даже на однокомнатную квартиру</c:v>
                </c:pt>
                <c:pt idx="5">
                  <c:v>У нас нет никаких финансовых затруднений. При необходимости мы сможем купить квартиру или дом.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0.35</c:v>
                </c:pt>
                <c:pt idx="4">
                  <c:v>0.05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F2-4079-B7A0-F7CD0AFC30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6312"/>
        <c:axId val="1"/>
      </c:barChart>
      <c:catAx>
        <c:axId val="205446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t" anchorCtr="0"/>
          <a:lstStyle/>
          <a:p>
            <a:pPr>
              <a:defRPr sz="900" b="0" i="0" u="none" strike="noStrike" kern="0" spc="0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46312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6526849238189"/>
          <c:y val="0.35810810810810811"/>
          <c:w val="9.924247676587597E-2"/>
          <c:h val="0.165540540540540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anchor="ctr" anchorCtr="0"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FF00" mc:Ignorable="a14" a14:legacySpreadsheetColorIndex="1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Используют банковские вклады</c:v>
                </c:pt>
                <c:pt idx="1">
                  <c:v>Использовали банковские вклады за последние 12 месяцев</c:v>
                </c:pt>
                <c:pt idx="2">
                  <c:v>Не пользуются банковскими вкладами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0.80500000000000005</c:v>
                </c:pt>
                <c:pt idx="1">
                  <c:v>3.9E-2</c:v>
                </c:pt>
                <c:pt idx="2">
                  <c:v>0.156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4-4FBC-A2CE-764FF4CE098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8000" mc:Ignorable="a14" a14:legacySpreadsheetColorIndex="17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Используют банковские вклады</c:v>
                </c:pt>
                <c:pt idx="1">
                  <c:v>Использовали банковские вклады за последние 12 месяцев</c:v>
                </c:pt>
                <c:pt idx="2">
                  <c:v>Не пользуются банковскими вкладами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0.75</c:v>
                </c:pt>
                <c:pt idx="1">
                  <c:v>0.2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64-4FBC-A2CE-764FF4CE09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36784"/>
        <c:axId val="1"/>
      </c:barChart>
      <c:catAx>
        <c:axId val="20543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36784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678133179715506"/>
          <c:y val="3.7162162162162164E-2"/>
          <c:w val="0.47768521954594029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CCCCFF" mc:Ignorable="a14" a14:legacySpreadsheetColorIndex="3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Банковский вклад</c:v>
                </c:pt>
                <c:pt idx="1">
                  <c:v>Договор на размещение средств в форме займа в микрофинансовой организации</c:v>
                </c:pt>
                <c:pt idx="2">
                  <c:v>Договор на размещение средств в форме займа в кредитном потребительском кооперативе</c:v>
                </c:pt>
                <c:pt idx="3">
                  <c:v>Договор на размещение средств в форме займа в сельскохозяйственном кредитном потребительском кооперативе</c:v>
                </c:pt>
                <c:pt idx="4">
                  <c:v>Индивидуальный инвестиционный счет</c:v>
                </c:pt>
                <c:pt idx="5">
                  <c:v>Инвестиционное страхование жизни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0.80500000000000005</c:v>
                </c:pt>
                <c:pt idx="1">
                  <c:v>9.0999999999999998E-2</c:v>
                </c:pt>
                <c:pt idx="2">
                  <c:v>5.1999999999999998E-2</c:v>
                </c:pt>
                <c:pt idx="3">
                  <c:v>7.8E-2</c:v>
                </c:pt>
                <c:pt idx="4">
                  <c:v>0.20799999999999999</c:v>
                </c:pt>
                <c:pt idx="5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0D-4D18-8B5C-22DF775E84A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Банковский вклад</c:v>
                </c:pt>
                <c:pt idx="1">
                  <c:v>Договор на размещение средств в форме займа в микрофинансовой организации</c:v>
                </c:pt>
                <c:pt idx="2">
                  <c:v>Договор на размещение средств в форме займа в кредитном потребительском кооперативе</c:v>
                </c:pt>
                <c:pt idx="3">
                  <c:v>Договор на размещение средств в форме займа в сельскохозяйственном кредитном потребительском кооперативе</c:v>
                </c:pt>
                <c:pt idx="4">
                  <c:v>Индивидуальный инвестиционный счет</c:v>
                </c:pt>
                <c:pt idx="5">
                  <c:v>Инвестиционное страхование жизни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0.75</c:v>
                </c:pt>
                <c:pt idx="1">
                  <c:v>0.05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0D-4D18-8B5C-22DF775E84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456208"/>
        <c:axId val="1"/>
      </c:barChart>
      <c:catAx>
        <c:axId val="209456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9456208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678133179715506"/>
          <c:y val="3.7162162162162164E-2"/>
          <c:w val="0.47768521954594029"/>
          <c:h val="0.8853823595056549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CCCCFF" mc:Ignorable="a14" a14:legacySpreadsheetColorIndex="3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Дальность отделений финансовых организаций</c:v>
                </c:pt>
                <c:pt idx="1">
                  <c:v>Слишком высокая процентная ставка по кредиту</c:v>
                </c:pt>
                <c:pt idx="2">
                  <c:v>Недоверие финансовым организациям</c:v>
                </c:pt>
                <c:pt idx="3">
                  <c:v>Отсутствие необходимых документов</c:v>
                </c:pt>
                <c:pt idx="4">
                  <c:v>Нежелание жить в долг</c:v>
                </c:pt>
                <c:pt idx="5">
                  <c:v>Использование других способов получения займа</c:v>
                </c:pt>
                <c:pt idx="6">
                  <c:v>Наличие кредита у других членов семьи</c:v>
                </c:pt>
                <c:pt idx="7">
                  <c:v>Отсутствие необходимости в заемных средствах</c:v>
                </c:pt>
                <c:pt idx="8">
                  <c:v>Не обладание навиками использования онлайн-сервисов</c:v>
                </c:pt>
                <c:pt idx="9">
                  <c:v>Неуверенность в безопасности онлайн-сервисов</c:v>
                </c:pt>
              </c:strCache>
            </c:strRef>
          </c:cat>
          <c:val>
            <c:numRef>
              <c:f>Sheet1!$B$2:$K$2</c:f>
              <c:numCache>
                <c:formatCode>0.00%</c:formatCode>
                <c:ptCount val="10"/>
                <c:pt idx="0">
                  <c:v>3.9E-2</c:v>
                </c:pt>
                <c:pt idx="1">
                  <c:v>0.23400000000000001</c:v>
                </c:pt>
                <c:pt idx="2">
                  <c:v>0.104</c:v>
                </c:pt>
                <c:pt idx="3">
                  <c:v>5.1999999999999998E-2</c:v>
                </c:pt>
                <c:pt idx="4">
                  <c:v>0.35099999999999998</c:v>
                </c:pt>
                <c:pt idx="5">
                  <c:v>0.11700000000000001</c:v>
                </c:pt>
                <c:pt idx="6">
                  <c:v>6.5000000000000002E-2</c:v>
                </c:pt>
                <c:pt idx="7">
                  <c:v>0.27300000000000002</c:v>
                </c:pt>
                <c:pt idx="8">
                  <c:v>2.5999999999999999E-2</c:v>
                </c:pt>
                <c:pt idx="9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9-4A8E-8D1A-32BF391FBF0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Дальность отделений финансовых организаций</c:v>
                </c:pt>
                <c:pt idx="1">
                  <c:v>Слишком высокая процентная ставка по кредиту</c:v>
                </c:pt>
                <c:pt idx="2">
                  <c:v>Недоверие финансовым организациям</c:v>
                </c:pt>
                <c:pt idx="3">
                  <c:v>Отсутствие необходимых документов</c:v>
                </c:pt>
                <c:pt idx="4">
                  <c:v>Нежелание жить в долг</c:v>
                </c:pt>
                <c:pt idx="5">
                  <c:v>Использование других способов получения займа</c:v>
                </c:pt>
                <c:pt idx="6">
                  <c:v>Наличие кредита у других членов семьи</c:v>
                </c:pt>
                <c:pt idx="7">
                  <c:v>Отсутствие необходимости в заемных средствах</c:v>
                </c:pt>
                <c:pt idx="8">
                  <c:v>Не обладание навиками использования онлайн-сервисов</c:v>
                </c:pt>
                <c:pt idx="9">
                  <c:v>Неуверенность в безопасности онлайн-сервисов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10"/>
                <c:pt idx="0">
                  <c:v>0</c:v>
                </c:pt>
                <c:pt idx="1">
                  <c:v>0.15</c:v>
                </c:pt>
                <c:pt idx="2">
                  <c:v>0.05</c:v>
                </c:pt>
                <c:pt idx="3">
                  <c:v>0</c:v>
                </c:pt>
                <c:pt idx="4">
                  <c:v>0.55000000000000004</c:v>
                </c:pt>
                <c:pt idx="5">
                  <c:v>0.1</c:v>
                </c:pt>
                <c:pt idx="6">
                  <c:v>0.25</c:v>
                </c:pt>
                <c:pt idx="7">
                  <c:v>0.1</c:v>
                </c:pt>
                <c:pt idx="8">
                  <c:v>0</c:v>
                </c:pt>
                <c:pt idx="9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19-4A8E-8D1A-32BF391FBF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456208"/>
        <c:axId val="1"/>
      </c:barChart>
      <c:catAx>
        <c:axId val="209456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9456208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2624282286546597"/>
          <c:w val="0.11182108626198083"/>
          <c:h val="0.12204975537814225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FF00" mc:Ignorable="a14" a14:legacySpreadsheetColorIndex="1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Используют зарплатную карту</c:v>
                </c:pt>
                <c:pt idx="1">
                  <c:v>Используют дебетовую карту для получения социальных выплат</c:v>
                </c:pt>
                <c:pt idx="2">
                  <c:v>Используют другую расчетную (дебетовую) карту</c:v>
                </c:pt>
                <c:pt idx="3">
                  <c:v>Используют кредитную карту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0.312</c:v>
                </c:pt>
                <c:pt idx="1">
                  <c:v>0.49299999999999999</c:v>
                </c:pt>
                <c:pt idx="2">
                  <c:v>0.57099999999999995</c:v>
                </c:pt>
                <c:pt idx="3">
                  <c:v>0.14300000000000002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77-4F0D-A26D-6A932C348C7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8000" mc:Ignorable="a14" a14:legacySpreadsheetColorIndex="17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7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Используют зарплатную карту</c:v>
                </c:pt>
                <c:pt idx="1">
                  <c:v>Используют дебетовую карту для получения социальных выплат</c:v>
                </c:pt>
                <c:pt idx="2">
                  <c:v>Используют другую расчетную (дебетовую) карту</c:v>
                </c:pt>
                <c:pt idx="3">
                  <c:v>Используют кредитную карту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0.9</c:v>
                </c:pt>
                <c:pt idx="1">
                  <c:v>0.25</c:v>
                </c:pt>
                <c:pt idx="2">
                  <c:v>0.25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77-4F0D-A26D-6A932C348C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36784"/>
        <c:axId val="1"/>
      </c:barChart>
      <c:catAx>
        <c:axId val="20543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05436784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20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Носоченко</dc:creator>
  <cp:lastModifiedBy>Hygashy</cp:lastModifiedBy>
  <cp:revision>39</cp:revision>
  <dcterms:created xsi:type="dcterms:W3CDTF">2021-11-28T06:19:00Z</dcterms:created>
  <dcterms:modified xsi:type="dcterms:W3CDTF">2021-12-27T15:54:00Z</dcterms:modified>
</cp:coreProperties>
</file>