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CA" w:rsidRDefault="003477CA" w:rsidP="003477CA">
      <w:pPr>
        <w:jc w:val="center"/>
        <w:rPr>
          <w:sz w:val="28"/>
          <w:szCs w:val="28"/>
        </w:rPr>
      </w:pPr>
      <w:r>
        <w:rPr>
          <w:sz w:val="28"/>
          <w:szCs w:val="28"/>
        </w:rPr>
        <w:t>ПРОЕКТ ПОСТАНОВЛЕНИЯ</w:t>
      </w:r>
    </w:p>
    <w:p w:rsidR="003477CA" w:rsidRDefault="003477CA" w:rsidP="003477CA">
      <w:pPr>
        <w:jc w:val="center"/>
        <w:rPr>
          <w:sz w:val="28"/>
          <w:szCs w:val="28"/>
        </w:rPr>
      </w:pPr>
      <w:r>
        <w:rPr>
          <w:sz w:val="28"/>
          <w:szCs w:val="28"/>
        </w:rPr>
        <w:t>АДМИНИСТРАЦИИ СОВЕТСКОГО ГОРОДСКОГО ОКРУГА</w:t>
      </w:r>
    </w:p>
    <w:p w:rsidR="003477CA" w:rsidRDefault="003477CA" w:rsidP="003477CA">
      <w:pPr>
        <w:ind w:firstLine="708"/>
        <w:jc w:val="center"/>
        <w:rPr>
          <w:sz w:val="28"/>
          <w:szCs w:val="28"/>
        </w:rPr>
      </w:pPr>
      <w:r>
        <w:rPr>
          <w:sz w:val="28"/>
          <w:szCs w:val="28"/>
        </w:rPr>
        <w:t>СТАВРОПОЛЬСКОГО  КРАЯ</w:t>
      </w:r>
    </w:p>
    <w:p w:rsidR="003477CA" w:rsidRDefault="003477CA" w:rsidP="003477CA">
      <w:pPr>
        <w:ind w:firstLine="708"/>
        <w:jc w:val="center"/>
        <w:rPr>
          <w:sz w:val="28"/>
          <w:szCs w:val="28"/>
        </w:rPr>
      </w:pPr>
    </w:p>
    <w:p w:rsidR="008E1E1C" w:rsidRDefault="008E1E1C" w:rsidP="003477CA">
      <w:pPr>
        <w:ind w:firstLine="708"/>
        <w:jc w:val="both"/>
        <w:rPr>
          <w:sz w:val="28"/>
          <w:szCs w:val="28"/>
        </w:rPr>
      </w:pPr>
      <w:r>
        <w:rPr>
          <w:sz w:val="28"/>
          <w:szCs w:val="28"/>
        </w:rPr>
        <w:t>О внесении изменения в Положение об оплате труда руководителей муниципальных образовательных учреждений Советского городского округа Ставропольского края, подведомственных управлению образования администрации Советского городского округа Ставропольского края утвержденное постановлением администрации Советского городского округа Ставропольского края от 24 ноября 2021 г. № 1291</w:t>
      </w:r>
    </w:p>
    <w:p w:rsidR="008E1E1C" w:rsidRDefault="008E1E1C" w:rsidP="008E1E1C">
      <w:pPr>
        <w:ind w:firstLine="708"/>
        <w:jc w:val="both"/>
        <w:rPr>
          <w:sz w:val="28"/>
          <w:szCs w:val="28"/>
        </w:rPr>
      </w:pPr>
    </w:p>
    <w:p w:rsidR="008E1E1C" w:rsidRDefault="008E1E1C" w:rsidP="008E1E1C">
      <w:pPr>
        <w:ind w:firstLine="708"/>
        <w:jc w:val="both"/>
        <w:rPr>
          <w:sz w:val="28"/>
          <w:szCs w:val="28"/>
        </w:rPr>
      </w:pPr>
      <w:proofErr w:type="gramStart"/>
      <w:r>
        <w:rPr>
          <w:sz w:val="28"/>
          <w:szCs w:val="28"/>
        </w:rPr>
        <w:t>В соответствии со статьей 144 Трудового кодекса Российской Федерации, постановлением администрации Советского городского округа Ставропольского края от 09 января 2018 г. № 5 «Об установлении систем оплаты труда работников муниципальных бюджетных, автономных и казенных учреждений Советского городского округа Ставропольского края» (с изменениями) и распоряжением администрации Советского городского округа Ставропольского края от 01 июля 2022 г. № 171 «О мерах по увеличению оплаты</w:t>
      </w:r>
      <w:proofErr w:type="gramEnd"/>
      <w:r>
        <w:rPr>
          <w:sz w:val="28"/>
          <w:szCs w:val="28"/>
        </w:rPr>
        <w:t xml:space="preserve"> труда работников муниципальных учреждений Советского городского округа Ставропольского края и работников администрации Советского городского округа Ставропольского края, осуществляющих профессиональную деятельность по профессиям рабочих» администрация Советского городского округа Ставропольского края</w:t>
      </w:r>
    </w:p>
    <w:p w:rsidR="008E1E1C" w:rsidRDefault="008E1E1C" w:rsidP="008E1E1C">
      <w:pPr>
        <w:ind w:firstLine="708"/>
        <w:jc w:val="both"/>
        <w:rPr>
          <w:sz w:val="28"/>
          <w:szCs w:val="28"/>
        </w:rPr>
      </w:pPr>
    </w:p>
    <w:p w:rsidR="008E1E1C" w:rsidRDefault="008E1E1C" w:rsidP="008E1E1C">
      <w:pPr>
        <w:jc w:val="both"/>
        <w:rPr>
          <w:sz w:val="28"/>
          <w:szCs w:val="28"/>
        </w:rPr>
      </w:pPr>
      <w:r>
        <w:rPr>
          <w:sz w:val="28"/>
          <w:szCs w:val="28"/>
        </w:rPr>
        <w:t>ПОСТАНОВЛЯЕТ:</w:t>
      </w:r>
    </w:p>
    <w:p w:rsidR="008E1E1C" w:rsidRDefault="008E1E1C" w:rsidP="008E1E1C">
      <w:pPr>
        <w:ind w:firstLine="708"/>
        <w:jc w:val="both"/>
        <w:rPr>
          <w:sz w:val="28"/>
          <w:szCs w:val="28"/>
        </w:rPr>
      </w:pPr>
    </w:p>
    <w:p w:rsidR="008E1E1C" w:rsidRDefault="008E1E1C" w:rsidP="001734F2">
      <w:pPr>
        <w:ind w:firstLine="708"/>
        <w:jc w:val="both"/>
        <w:rPr>
          <w:sz w:val="28"/>
          <w:szCs w:val="28"/>
        </w:rPr>
      </w:pPr>
      <w:r>
        <w:rPr>
          <w:sz w:val="28"/>
          <w:szCs w:val="28"/>
        </w:rPr>
        <w:t xml:space="preserve"> 1. </w:t>
      </w:r>
      <w:proofErr w:type="gramStart"/>
      <w:r>
        <w:rPr>
          <w:sz w:val="28"/>
          <w:szCs w:val="28"/>
        </w:rPr>
        <w:t xml:space="preserve">Внести </w:t>
      </w:r>
      <w:r w:rsidR="001734F2">
        <w:rPr>
          <w:sz w:val="28"/>
          <w:szCs w:val="28"/>
        </w:rPr>
        <w:t xml:space="preserve">изменение </w:t>
      </w:r>
      <w:r>
        <w:rPr>
          <w:sz w:val="28"/>
          <w:szCs w:val="28"/>
        </w:rPr>
        <w:t xml:space="preserve">в </w:t>
      </w:r>
      <w:r w:rsidR="001734F2">
        <w:rPr>
          <w:sz w:val="28"/>
          <w:szCs w:val="28"/>
        </w:rPr>
        <w:t>п.2.1 Положения</w:t>
      </w:r>
      <w:r>
        <w:rPr>
          <w:sz w:val="28"/>
          <w:szCs w:val="28"/>
        </w:rPr>
        <w:t xml:space="preserve"> об оплате труда руководителей муниципальных образовательных учреждений Советского городского округа Ставропольского края, подведомственных управлению образования администрации Советского городского округа Ставропольского края, утвержденное постановлением администрации Советского городского округа Ставропольского края от 24 ноября 2021 г. № 1291 «Об утверждении Положения </w:t>
      </w:r>
      <w:r w:rsidR="001734F2">
        <w:rPr>
          <w:sz w:val="28"/>
          <w:szCs w:val="28"/>
        </w:rPr>
        <w:t>об оплате труда руководителей муниципальных образовательных учреждений Советского городского округа Ставропольского края, подведомственных управлению образования администрации</w:t>
      </w:r>
      <w:proofErr w:type="gramEnd"/>
      <w:r w:rsidR="001734F2">
        <w:rPr>
          <w:sz w:val="28"/>
          <w:szCs w:val="28"/>
        </w:rPr>
        <w:t xml:space="preserve"> Советского городского округа Ставропольского края</w:t>
      </w:r>
      <w:r>
        <w:rPr>
          <w:sz w:val="28"/>
          <w:szCs w:val="28"/>
        </w:rPr>
        <w:t xml:space="preserve">» </w:t>
      </w:r>
      <w:r w:rsidR="001734F2">
        <w:rPr>
          <w:sz w:val="28"/>
          <w:szCs w:val="28"/>
        </w:rPr>
        <w:t>изложив таблицу в следующей редакции:</w:t>
      </w:r>
      <w:r>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860"/>
        <w:gridCol w:w="4070"/>
        <w:gridCol w:w="991"/>
        <w:gridCol w:w="990"/>
        <w:gridCol w:w="916"/>
        <w:gridCol w:w="924"/>
        <w:gridCol w:w="356"/>
      </w:tblGrid>
      <w:tr w:rsidR="001734F2" w:rsidRPr="00BE67FE" w:rsidTr="001734F2">
        <w:trPr>
          <w:trHeight w:val="70"/>
        </w:trPr>
        <w:tc>
          <w:tcPr>
            <w:tcW w:w="356" w:type="dxa"/>
            <w:vMerge w:val="restart"/>
            <w:tcBorders>
              <w:top w:val="nil"/>
              <w:left w:val="nil"/>
            </w:tcBorders>
            <w:shd w:val="clear" w:color="auto" w:fill="auto"/>
          </w:tcPr>
          <w:p w:rsidR="001734F2" w:rsidRDefault="001734F2" w:rsidP="001734F2">
            <w:pPr>
              <w:jc w:val="both"/>
              <w:rPr>
                <w:sz w:val="28"/>
                <w:szCs w:val="28"/>
              </w:rPr>
            </w:pPr>
            <w:r>
              <w:rPr>
                <w:sz w:val="28"/>
                <w:szCs w:val="28"/>
              </w:rPr>
              <w:t>«</w:t>
            </w:r>
          </w:p>
          <w:p w:rsidR="001734F2" w:rsidRPr="00BE67FE" w:rsidRDefault="001734F2" w:rsidP="00843E59">
            <w:pPr>
              <w:autoSpaceDE w:val="0"/>
              <w:autoSpaceDN w:val="0"/>
              <w:adjustRightInd w:val="0"/>
              <w:jc w:val="center"/>
              <w:rPr>
                <w:sz w:val="28"/>
                <w:szCs w:val="28"/>
              </w:rPr>
            </w:pPr>
          </w:p>
        </w:tc>
        <w:tc>
          <w:tcPr>
            <w:tcW w:w="860" w:type="dxa"/>
            <w:vMerge w:val="restart"/>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rPr>
              <w:t xml:space="preserve">№ </w:t>
            </w:r>
            <w:proofErr w:type="spellStart"/>
            <w:proofErr w:type="gramStart"/>
            <w:r w:rsidRPr="00BE67FE">
              <w:rPr>
                <w:sz w:val="28"/>
                <w:szCs w:val="28"/>
              </w:rPr>
              <w:t>п</w:t>
            </w:r>
            <w:proofErr w:type="spellEnd"/>
            <w:proofErr w:type="gramEnd"/>
            <w:r w:rsidRPr="00BE67FE">
              <w:rPr>
                <w:sz w:val="28"/>
                <w:szCs w:val="28"/>
              </w:rPr>
              <w:t>/</w:t>
            </w:r>
            <w:proofErr w:type="spellStart"/>
            <w:r w:rsidRPr="00BE67FE">
              <w:rPr>
                <w:sz w:val="28"/>
                <w:szCs w:val="28"/>
              </w:rPr>
              <w:t>п</w:t>
            </w:r>
            <w:proofErr w:type="spellEnd"/>
          </w:p>
        </w:tc>
        <w:tc>
          <w:tcPr>
            <w:tcW w:w="4070" w:type="dxa"/>
            <w:vMerge w:val="restart"/>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rPr>
              <w:t xml:space="preserve">Наименование должности </w:t>
            </w:r>
          </w:p>
        </w:tc>
        <w:tc>
          <w:tcPr>
            <w:tcW w:w="3821" w:type="dxa"/>
            <w:gridSpan w:val="4"/>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rPr>
              <w:t>Должностной оклад (рублей)</w:t>
            </w:r>
          </w:p>
        </w:tc>
        <w:tc>
          <w:tcPr>
            <w:tcW w:w="356" w:type="dxa"/>
            <w:vMerge w:val="restart"/>
            <w:tcBorders>
              <w:top w:val="nil"/>
              <w:right w:val="nil"/>
            </w:tcBorders>
            <w:shd w:val="clear" w:color="auto" w:fill="auto"/>
          </w:tcPr>
          <w:p w:rsidR="001734F2" w:rsidRDefault="001734F2">
            <w:pPr>
              <w:spacing w:after="200" w:line="276" w:lineRule="auto"/>
              <w:rPr>
                <w:sz w:val="28"/>
                <w:szCs w:val="28"/>
              </w:rPr>
            </w:pPr>
          </w:p>
          <w:p w:rsidR="001734F2" w:rsidRDefault="001734F2">
            <w:pPr>
              <w:spacing w:after="200" w:line="276" w:lineRule="auto"/>
              <w:rPr>
                <w:sz w:val="28"/>
                <w:szCs w:val="28"/>
              </w:rPr>
            </w:pPr>
          </w:p>
          <w:p w:rsidR="001734F2" w:rsidRDefault="001734F2">
            <w:pPr>
              <w:spacing w:after="200" w:line="276" w:lineRule="auto"/>
              <w:rPr>
                <w:sz w:val="28"/>
                <w:szCs w:val="28"/>
              </w:rPr>
            </w:pPr>
          </w:p>
          <w:p w:rsidR="001734F2" w:rsidRPr="00BE67FE" w:rsidRDefault="001734F2" w:rsidP="001734F2">
            <w:pPr>
              <w:autoSpaceDE w:val="0"/>
              <w:autoSpaceDN w:val="0"/>
              <w:adjustRightInd w:val="0"/>
              <w:jc w:val="both"/>
              <w:rPr>
                <w:sz w:val="28"/>
                <w:szCs w:val="28"/>
              </w:rPr>
            </w:pPr>
            <w:r>
              <w:rPr>
                <w:sz w:val="28"/>
                <w:szCs w:val="28"/>
              </w:rPr>
              <w:t>»</w:t>
            </w:r>
          </w:p>
        </w:tc>
      </w:tr>
      <w:tr w:rsidR="001734F2" w:rsidRPr="00BE67FE" w:rsidTr="001734F2">
        <w:tc>
          <w:tcPr>
            <w:tcW w:w="356" w:type="dxa"/>
            <w:vMerge/>
            <w:tcBorders>
              <w:left w:val="nil"/>
            </w:tcBorders>
            <w:shd w:val="clear" w:color="auto" w:fill="auto"/>
          </w:tcPr>
          <w:p w:rsidR="001734F2" w:rsidRPr="00BE67FE" w:rsidRDefault="001734F2" w:rsidP="00843E59">
            <w:pPr>
              <w:autoSpaceDE w:val="0"/>
              <w:autoSpaceDN w:val="0"/>
              <w:adjustRightInd w:val="0"/>
              <w:jc w:val="center"/>
              <w:rPr>
                <w:sz w:val="28"/>
                <w:szCs w:val="28"/>
              </w:rPr>
            </w:pPr>
          </w:p>
        </w:tc>
        <w:tc>
          <w:tcPr>
            <w:tcW w:w="860" w:type="dxa"/>
            <w:vMerge/>
            <w:shd w:val="clear" w:color="auto" w:fill="auto"/>
          </w:tcPr>
          <w:p w:rsidR="001734F2" w:rsidRPr="00BE67FE" w:rsidRDefault="001734F2" w:rsidP="00843E59">
            <w:pPr>
              <w:autoSpaceDE w:val="0"/>
              <w:autoSpaceDN w:val="0"/>
              <w:adjustRightInd w:val="0"/>
              <w:jc w:val="center"/>
              <w:rPr>
                <w:sz w:val="28"/>
                <w:szCs w:val="28"/>
              </w:rPr>
            </w:pPr>
          </w:p>
        </w:tc>
        <w:tc>
          <w:tcPr>
            <w:tcW w:w="4070" w:type="dxa"/>
            <w:vMerge/>
            <w:shd w:val="clear" w:color="auto" w:fill="auto"/>
          </w:tcPr>
          <w:p w:rsidR="001734F2" w:rsidRPr="00BE67FE" w:rsidRDefault="001734F2" w:rsidP="00843E59">
            <w:pPr>
              <w:autoSpaceDE w:val="0"/>
              <w:autoSpaceDN w:val="0"/>
              <w:adjustRightInd w:val="0"/>
              <w:jc w:val="center"/>
              <w:rPr>
                <w:sz w:val="28"/>
                <w:szCs w:val="28"/>
              </w:rPr>
            </w:pPr>
          </w:p>
        </w:tc>
        <w:tc>
          <w:tcPr>
            <w:tcW w:w="3821" w:type="dxa"/>
            <w:gridSpan w:val="4"/>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rPr>
              <w:t>Группа по оплате труда</w:t>
            </w:r>
          </w:p>
          <w:p w:rsidR="001734F2" w:rsidRPr="00BE67FE" w:rsidRDefault="001734F2" w:rsidP="00843E59">
            <w:pPr>
              <w:autoSpaceDE w:val="0"/>
              <w:autoSpaceDN w:val="0"/>
              <w:adjustRightInd w:val="0"/>
              <w:jc w:val="center"/>
              <w:rPr>
                <w:sz w:val="28"/>
                <w:szCs w:val="28"/>
              </w:rPr>
            </w:pPr>
            <w:r w:rsidRPr="00BE67FE">
              <w:rPr>
                <w:sz w:val="28"/>
                <w:szCs w:val="28"/>
              </w:rPr>
              <w:t>руководителей</w:t>
            </w:r>
          </w:p>
        </w:tc>
        <w:tc>
          <w:tcPr>
            <w:tcW w:w="356" w:type="dxa"/>
            <w:vMerge/>
            <w:tcBorders>
              <w:right w:val="nil"/>
            </w:tcBorders>
            <w:shd w:val="clear" w:color="auto" w:fill="auto"/>
          </w:tcPr>
          <w:p w:rsidR="001734F2" w:rsidRPr="00BE67FE" w:rsidRDefault="001734F2" w:rsidP="001734F2">
            <w:pPr>
              <w:autoSpaceDE w:val="0"/>
              <w:autoSpaceDN w:val="0"/>
              <w:adjustRightInd w:val="0"/>
              <w:jc w:val="both"/>
              <w:rPr>
                <w:sz w:val="28"/>
                <w:szCs w:val="28"/>
              </w:rPr>
            </w:pPr>
          </w:p>
        </w:tc>
      </w:tr>
      <w:tr w:rsidR="001734F2" w:rsidRPr="00BE67FE" w:rsidTr="001734F2">
        <w:tc>
          <w:tcPr>
            <w:tcW w:w="356" w:type="dxa"/>
            <w:vMerge/>
            <w:tcBorders>
              <w:left w:val="nil"/>
            </w:tcBorders>
            <w:shd w:val="clear" w:color="auto" w:fill="auto"/>
          </w:tcPr>
          <w:p w:rsidR="001734F2" w:rsidRPr="00BE67FE" w:rsidRDefault="001734F2" w:rsidP="00843E59">
            <w:pPr>
              <w:autoSpaceDE w:val="0"/>
              <w:autoSpaceDN w:val="0"/>
              <w:adjustRightInd w:val="0"/>
              <w:jc w:val="both"/>
              <w:rPr>
                <w:sz w:val="28"/>
                <w:szCs w:val="28"/>
              </w:rPr>
            </w:pPr>
          </w:p>
        </w:tc>
        <w:tc>
          <w:tcPr>
            <w:tcW w:w="860" w:type="dxa"/>
            <w:vMerge/>
            <w:shd w:val="clear" w:color="auto" w:fill="auto"/>
          </w:tcPr>
          <w:p w:rsidR="001734F2" w:rsidRPr="00BE67FE" w:rsidRDefault="001734F2" w:rsidP="00843E59">
            <w:pPr>
              <w:autoSpaceDE w:val="0"/>
              <w:autoSpaceDN w:val="0"/>
              <w:adjustRightInd w:val="0"/>
              <w:jc w:val="both"/>
              <w:rPr>
                <w:sz w:val="28"/>
                <w:szCs w:val="28"/>
              </w:rPr>
            </w:pPr>
          </w:p>
        </w:tc>
        <w:tc>
          <w:tcPr>
            <w:tcW w:w="4070" w:type="dxa"/>
            <w:vMerge/>
            <w:shd w:val="clear" w:color="auto" w:fill="auto"/>
          </w:tcPr>
          <w:p w:rsidR="001734F2" w:rsidRPr="00BE67FE" w:rsidRDefault="001734F2" w:rsidP="00843E59">
            <w:pPr>
              <w:autoSpaceDE w:val="0"/>
              <w:autoSpaceDN w:val="0"/>
              <w:adjustRightInd w:val="0"/>
              <w:jc w:val="both"/>
              <w:rPr>
                <w:sz w:val="28"/>
                <w:szCs w:val="28"/>
              </w:rPr>
            </w:pPr>
          </w:p>
        </w:tc>
        <w:tc>
          <w:tcPr>
            <w:tcW w:w="991" w:type="dxa"/>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lang w:val="en-US"/>
              </w:rPr>
              <w:t>I</w:t>
            </w:r>
          </w:p>
        </w:tc>
        <w:tc>
          <w:tcPr>
            <w:tcW w:w="990" w:type="dxa"/>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lang w:val="en-US"/>
              </w:rPr>
              <w:t>II</w:t>
            </w:r>
          </w:p>
        </w:tc>
        <w:tc>
          <w:tcPr>
            <w:tcW w:w="916" w:type="dxa"/>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lang w:val="en-US"/>
              </w:rPr>
              <w:t>III</w:t>
            </w:r>
          </w:p>
        </w:tc>
        <w:tc>
          <w:tcPr>
            <w:tcW w:w="924" w:type="dxa"/>
            <w:shd w:val="clear" w:color="auto" w:fill="auto"/>
          </w:tcPr>
          <w:p w:rsidR="001734F2" w:rsidRPr="00BE67FE" w:rsidRDefault="001734F2" w:rsidP="00843E59">
            <w:pPr>
              <w:autoSpaceDE w:val="0"/>
              <w:autoSpaceDN w:val="0"/>
              <w:adjustRightInd w:val="0"/>
              <w:jc w:val="center"/>
              <w:rPr>
                <w:sz w:val="28"/>
                <w:szCs w:val="28"/>
              </w:rPr>
            </w:pPr>
            <w:r w:rsidRPr="00BE67FE">
              <w:rPr>
                <w:sz w:val="28"/>
                <w:szCs w:val="28"/>
                <w:lang w:val="en-US"/>
              </w:rPr>
              <w:t>IV</w:t>
            </w:r>
          </w:p>
        </w:tc>
        <w:tc>
          <w:tcPr>
            <w:tcW w:w="356" w:type="dxa"/>
            <w:vMerge/>
            <w:tcBorders>
              <w:right w:val="nil"/>
            </w:tcBorders>
            <w:shd w:val="clear" w:color="auto" w:fill="auto"/>
          </w:tcPr>
          <w:p w:rsidR="001734F2" w:rsidRPr="00BE67FE" w:rsidRDefault="001734F2" w:rsidP="001734F2">
            <w:pPr>
              <w:autoSpaceDE w:val="0"/>
              <w:autoSpaceDN w:val="0"/>
              <w:adjustRightInd w:val="0"/>
              <w:jc w:val="both"/>
              <w:rPr>
                <w:sz w:val="28"/>
                <w:szCs w:val="28"/>
              </w:rPr>
            </w:pPr>
          </w:p>
        </w:tc>
      </w:tr>
      <w:tr w:rsidR="001734F2" w:rsidRPr="007C5F78" w:rsidTr="001734F2">
        <w:tc>
          <w:tcPr>
            <w:tcW w:w="356" w:type="dxa"/>
            <w:vMerge/>
            <w:tcBorders>
              <w:left w:val="nil"/>
              <w:bottom w:val="nil"/>
            </w:tcBorders>
            <w:shd w:val="clear" w:color="auto" w:fill="auto"/>
          </w:tcPr>
          <w:p w:rsidR="001734F2" w:rsidRPr="00BE67FE" w:rsidRDefault="001734F2" w:rsidP="00843E59">
            <w:pPr>
              <w:autoSpaceDE w:val="0"/>
              <w:autoSpaceDN w:val="0"/>
              <w:adjustRightInd w:val="0"/>
              <w:jc w:val="both"/>
              <w:rPr>
                <w:sz w:val="28"/>
                <w:szCs w:val="28"/>
              </w:rPr>
            </w:pPr>
          </w:p>
        </w:tc>
        <w:tc>
          <w:tcPr>
            <w:tcW w:w="860" w:type="dxa"/>
            <w:shd w:val="clear" w:color="auto" w:fill="auto"/>
          </w:tcPr>
          <w:p w:rsidR="001734F2" w:rsidRPr="00BE67FE" w:rsidRDefault="001734F2" w:rsidP="00843E59">
            <w:pPr>
              <w:autoSpaceDE w:val="0"/>
              <w:autoSpaceDN w:val="0"/>
              <w:adjustRightInd w:val="0"/>
              <w:jc w:val="both"/>
              <w:rPr>
                <w:sz w:val="28"/>
                <w:szCs w:val="28"/>
              </w:rPr>
            </w:pPr>
            <w:r w:rsidRPr="00BE67FE">
              <w:rPr>
                <w:sz w:val="28"/>
                <w:szCs w:val="28"/>
              </w:rPr>
              <w:t>1.</w:t>
            </w:r>
          </w:p>
        </w:tc>
        <w:tc>
          <w:tcPr>
            <w:tcW w:w="4070" w:type="dxa"/>
            <w:shd w:val="clear" w:color="auto" w:fill="auto"/>
          </w:tcPr>
          <w:p w:rsidR="001734F2" w:rsidRPr="00BE67FE" w:rsidRDefault="001734F2" w:rsidP="00843E59">
            <w:pPr>
              <w:autoSpaceDE w:val="0"/>
              <w:autoSpaceDN w:val="0"/>
              <w:adjustRightInd w:val="0"/>
              <w:jc w:val="both"/>
              <w:rPr>
                <w:sz w:val="28"/>
                <w:szCs w:val="28"/>
              </w:rPr>
            </w:pPr>
            <w:r w:rsidRPr="00BE67FE">
              <w:rPr>
                <w:sz w:val="28"/>
                <w:szCs w:val="28"/>
              </w:rPr>
              <w:t>Руководитель (директор, заведующий)</w:t>
            </w:r>
          </w:p>
        </w:tc>
        <w:tc>
          <w:tcPr>
            <w:tcW w:w="991" w:type="dxa"/>
            <w:shd w:val="clear" w:color="auto" w:fill="auto"/>
          </w:tcPr>
          <w:p w:rsidR="001734F2" w:rsidRPr="008E1E1C" w:rsidRDefault="001734F2" w:rsidP="00843E59">
            <w:pPr>
              <w:autoSpaceDE w:val="0"/>
              <w:autoSpaceDN w:val="0"/>
              <w:adjustRightInd w:val="0"/>
              <w:jc w:val="both"/>
              <w:rPr>
                <w:sz w:val="28"/>
                <w:szCs w:val="28"/>
              </w:rPr>
            </w:pPr>
            <w:r w:rsidRPr="008E1E1C">
              <w:rPr>
                <w:sz w:val="28"/>
                <w:szCs w:val="28"/>
              </w:rPr>
              <w:t>2</w:t>
            </w:r>
            <w:r>
              <w:rPr>
                <w:sz w:val="28"/>
                <w:szCs w:val="28"/>
              </w:rPr>
              <w:t>2294</w:t>
            </w:r>
          </w:p>
        </w:tc>
        <w:tc>
          <w:tcPr>
            <w:tcW w:w="990" w:type="dxa"/>
            <w:shd w:val="clear" w:color="auto" w:fill="auto"/>
          </w:tcPr>
          <w:p w:rsidR="001734F2" w:rsidRPr="008E1E1C" w:rsidRDefault="001734F2" w:rsidP="00843E59">
            <w:pPr>
              <w:autoSpaceDE w:val="0"/>
              <w:autoSpaceDN w:val="0"/>
              <w:adjustRightInd w:val="0"/>
              <w:jc w:val="both"/>
              <w:rPr>
                <w:sz w:val="28"/>
                <w:szCs w:val="28"/>
              </w:rPr>
            </w:pPr>
            <w:r w:rsidRPr="008E1E1C">
              <w:rPr>
                <w:sz w:val="28"/>
                <w:szCs w:val="28"/>
              </w:rPr>
              <w:t>20</w:t>
            </w:r>
            <w:r>
              <w:rPr>
                <w:sz w:val="28"/>
                <w:szCs w:val="28"/>
              </w:rPr>
              <w:t>881</w:t>
            </w:r>
          </w:p>
        </w:tc>
        <w:tc>
          <w:tcPr>
            <w:tcW w:w="916" w:type="dxa"/>
            <w:shd w:val="clear" w:color="auto" w:fill="auto"/>
          </w:tcPr>
          <w:p w:rsidR="001734F2" w:rsidRPr="008E1E1C" w:rsidRDefault="001734F2" w:rsidP="008E1E1C">
            <w:pPr>
              <w:autoSpaceDE w:val="0"/>
              <w:autoSpaceDN w:val="0"/>
              <w:adjustRightInd w:val="0"/>
              <w:jc w:val="both"/>
              <w:rPr>
                <w:sz w:val="28"/>
                <w:szCs w:val="28"/>
              </w:rPr>
            </w:pPr>
            <w:r w:rsidRPr="008E1E1C">
              <w:rPr>
                <w:sz w:val="28"/>
                <w:szCs w:val="28"/>
              </w:rPr>
              <w:t>1</w:t>
            </w:r>
            <w:r>
              <w:rPr>
                <w:sz w:val="28"/>
                <w:szCs w:val="28"/>
              </w:rPr>
              <w:t>9591</w:t>
            </w:r>
          </w:p>
        </w:tc>
        <w:tc>
          <w:tcPr>
            <w:tcW w:w="924" w:type="dxa"/>
            <w:shd w:val="clear" w:color="auto" w:fill="auto"/>
          </w:tcPr>
          <w:p w:rsidR="001734F2" w:rsidRPr="008E1E1C" w:rsidRDefault="001734F2" w:rsidP="008E1E1C">
            <w:pPr>
              <w:autoSpaceDE w:val="0"/>
              <w:autoSpaceDN w:val="0"/>
              <w:adjustRightInd w:val="0"/>
              <w:jc w:val="both"/>
              <w:rPr>
                <w:sz w:val="28"/>
                <w:szCs w:val="28"/>
              </w:rPr>
            </w:pPr>
            <w:r w:rsidRPr="008E1E1C">
              <w:rPr>
                <w:sz w:val="28"/>
                <w:szCs w:val="28"/>
              </w:rPr>
              <w:t>1</w:t>
            </w:r>
            <w:r>
              <w:rPr>
                <w:sz w:val="28"/>
                <w:szCs w:val="28"/>
              </w:rPr>
              <w:t>8427</w:t>
            </w:r>
          </w:p>
        </w:tc>
        <w:tc>
          <w:tcPr>
            <w:tcW w:w="356" w:type="dxa"/>
            <w:vMerge/>
            <w:tcBorders>
              <w:bottom w:val="nil"/>
              <w:right w:val="nil"/>
            </w:tcBorders>
            <w:shd w:val="clear" w:color="auto" w:fill="auto"/>
          </w:tcPr>
          <w:p w:rsidR="001734F2" w:rsidRPr="008E1E1C" w:rsidRDefault="001734F2" w:rsidP="001734F2">
            <w:pPr>
              <w:autoSpaceDE w:val="0"/>
              <w:autoSpaceDN w:val="0"/>
              <w:adjustRightInd w:val="0"/>
              <w:jc w:val="both"/>
              <w:rPr>
                <w:sz w:val="28"/>
                <w:szCs w:val="28"/>
              </w:rPr>
            </w:pPr>
          </w:p>
        </w:tc>
      </w:tr>
    </w:tbl>
    <w:p w:rsidR="008E1E1C" w:rsidRDefault="008E1E1C" w:rsidP="008E1E1C">
      <w:pPr>
        <w:pStyle w:val="ConsPlusNormal"/>
        <w:ind w:firstLine="708"/>
        <w:jc w:val="both"/>
        <w:rPr>
          <w:rFonts w:ascii="Times New Roman" w:hAnsi="Times New Roman" w:cs="Times New Roman"/>
          <w:sz w:val="28"/>
          <w:szCs w:val="28"/>
        </w:rPr>
      </w:pPr>
    </w:p>
    <w:p w:rsidR="008E1E1C" w:rsidRDefault="008E1E1C" w:rsidP="008E1E1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w:t>
      </w:r>
    </w:p>
    <w:p w:rsidR="008E1E1C" w:rsidRDefault="008E1E1C" w:rsidP="008E1E1C">
      <w:pPr>
        <w:autoSpaceDE w:val="0"/>
        <w:autoSpaceDN w:val="0"/>
        <w:adjustRightInd w:val="0"/>
        <w:ind w:firstLine="540"/>
        <w:jc w:val="both"/>
        <w:rPr>
          <w:sz w:val="28"/>
          <w:szCs w:val="28"/>
        </w:rPr>
      </w:pPr>
    </w:p>
    <w:p w:rsidR="008E1E1C" w:rsidRDefault="008E1E1C" w:rsidP="008E1E1C">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Советского городского округа Ставропольского края  </w:t>
      </w:r>
      <w:proofErr w:type="spellStart"/>
      <w:r>
        <w:rPr>
          <w:sz w:val="28"/>
          <w:szCs w:val="28"/>
        </w:rPr>
        <w:t>Недолугу</w:t>
      </w:r>
      <w:proofErr w:type="spellEnd"/>
      <w:r>
        <w:rPr>
          <w:sz w:val="28"/>
          <w:szCs w:val="28"/>
        </w:rPr>
        <w:t xml:space="preserve"> В.И.</w:t>
      </w:r>
    </w:p>
    <w:p w:rsidR="008E1E1C" w:rsidRDefault="008E1E1C" w:rsidP="008E1E1C">
      <w:pPr>
        <w:ind w:firstLine="567"/>
        <w:jc w:val="both"/>
        <w:rPr>
          <w:sz w:val="28"/>
          <w:szCs w:val="28"/>
        </w:rPr>
      </w:pPr>
    </w:p>
    <w:p w:rsidR="008E1E1C" w:rsidRDefault="008E1E1C" w:rsidP="008E1E1C">
      <w:pPr>
        <w:ind w:firstLine="567"/>
        <w:jc w:val="both"/>
        <w:rPr>
          <w:sz w:val="28"/>
          <w:szCs w:val="28"/>
        </w:rPr>
      </w:pPr>
      <w:r>
        <w:rPr>
          <w:sz w:val="28"/>
          <w:szCs w:val="28"/>
        </w:rPr>
        <w:t xml:space="preserve">  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и распространяется на правоотношения, возникшие с 01 июля 2022 года.</w:t>
      </w:r>
    </w:p>
    <w:p w:rsidR="008E1E1C" w:rsidRDefault="008E1E1C" w:rsidP="008E1E1C">
      <w:pPr>
        <w:ind w:firstLine="567"/>
        <w:jc w:val="both"/>
        <w:rPr>
          <w:sz w:val="28"/>
          <w:szCs w:val="28"/>
        </w:rPr>
      </w:pPr>
    </w:p>
    <w:p w:rsidR="001734F2" w:rsidRDefault="001734F2" w:rsidP="008E1E1C">
      <w:pPr>
        <w:ind w:firstLine="567"/>
        <w:jc w:val="both"/>
        <w:rPr>
          <w:sz w:val="28"/>
          <w:szCs w:val="28"/>
        </w:rPr>
      </w:pPr>
    </w:p>
    <w:p w:rsidR="008E1E1C" w:rsidRPr="003477CA" w:rsidRDefault="008E1E1C" w:rsidP="008E1E1C">
      <w:pPr>
        <w:jc w:val="both"/>
        <w:rPr>
          <w:sz w:val="28"/>
          <w:szCs w:val="28"/>
        </w:rPr>
      </w:pPr>
      <w:r w:rsidRPr="003477CA">
        <w:rPr>
          <w:sz w:val="28"/>
          <w:szCs w:val="28"/>
        </w:rPr>
        <w:t xml:space="preserve">Глава Советского </w:t>
      </w:r>
    </w:p>
    <w:p w:rsidR="008E1E1C" w:rsidRPr="003477CA" w:rsidRDefault="008E1E1C" w:rsidP="008E1E1C">
      <w:pPr>
        <w:jc w:val="both"/>
        <w:rPr>
          <w:sz w:val="28"/>
          <w:szCs w:val="28"/>
        </w:rPr>
      </w:pPr>
      <w:r w:rsidRPr="003477CA">
        <w:rPr>
          <w:sz w:val="28"/>
          <w:szCs w:val="28"/>
        </w:rPr>
        <w:t xml:space="preserve">городского округа </w:t>
      </w:r>
    </w:p>
    <w:p w:rsidR="008E1E1C" w:rsidRDefault="008E1E1C" w:rsidP="008E1E1C">
      <w:pPr>
        <w:jc w:val="both"/>
        <w:rPr>
          <w:sz w:val="28"/>
          <w:szCs w:val="28"/>
          <w:u w:val="single"/>
        </w:rPr>
      </w:pPr>
      <w:r w:rsidRPr="003477CA">
        <w:rPr>
          <w:sz w:val="28"/>
          <w:szCs w:val="28"/>
        </w:rPr>
        <w:t>Ставропольского края                                                                 С.Н.Воронков</w:t>
      </w:r>
    </w:p>
    <w:p w:rsidR="00826B86" w:rsidRDefault="00826B86"/>
    <w:sectPr w:rsidR="00826B86" w:rsidSect="00826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E1C"/>
    <w:rsid w:val="001734F2"/>
    <w:rsid w:val="003477CA"/>
    <w:rsid w:val="004F4D2B"/>
    <w:rsid w:val="005A1197"/>
    <w:rsid w:val="006A7E84"/>
    <w:rsid w:val="00826B86"/>
    <w:rsid w:val="008E1E1C"/>
    <w:rsid w:val="008E5A05"/>
    <w:rsid w:val="00B83759"/>
    <w:rsid w:val="00BE4A8D"/>
    <w:rsid w:val="00D50088"/>
    <w:rsid w:val="00D93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E1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E1E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Содержимое таблицы"/>
    <w:basedOn w:val="a"/>
    <w:uiPriority w:val="99"/>
    <w:rsid w:val="008E1E1C"/>
    <w:pPr>
      <w:widowControl w:val="0"/>
      <w:suppressLineNumbers/>
      <w:suppressAutoHyphens/>
    </w:pPr>
    <w:rPr>
      <w:rFonts w:eastAsia="Lucida Sans Unicode"/>
    </w:rPr>
  </w:style>
  <w:style w:type="paragraph" w:customStyle="1" w:styleId="msonormalbullet2gifbullet3gif">
    <w:name w:val="msonormalbullet2gifbullet3.gif"/>
    <w:basedOn w:val="a"/>
    <w:rsid w:val="008E1E1C"/>
    <w:pPr>
      <w:spacing w:before="100" w:beforeAutospacing="1" w:after="100" w:afterAutospacing="1"/>
    </w:pPr>
    <w:rPr>
      <w:rFonts w:eastAsia="Calibri"/>
    </w:rPr>
  </w:style>
  <w:style w:type="paragraph" w:styleId="a4">
    <w:name w:val="List Paragraph"/>
    <w:basedOn w:val="a"/>
    <w:uiPriority w:val="34"/>
    <w:qFormat/>
    <w:rsid w:val="008E1E1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004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9</cp:revision>
  <cp:lastPrinted>2022-07-22T07:04:00Z</cp:lastPrinted>
  <dcterms:created xsi:type="dcterms:W3CDTF">2022-07-13T12:49:00Z</dcterms:created>
  <dcterms:modified xsi:type="dcterms:W3CDTF">2022-07-22T07:04:00Z</dcterms:modified>
</cp:coreProperties>
</file>